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2D" w:rsidRPr="000B684C" w:rsidRDefault="0093672D" w:rsidP="00A40CDC">
      <w:pPr>
        <w:spacing w:after="0"/>
        <w:contextualSpacing/>
        <w:jc w:val="center"/>
        <w:rPr>
          <w:b/>
        </w:rPr>
      </w:pPr>
      <w:bookmarkStart w:id="0" w:name="_GoBack"/>
      <w:r w:rsidRPr="000B684C">
        <w:rPr>
          <w:b/>
        </w:rPr>
        <w:t xml:space="preserve">MISURE DI SEMPLIFICAZIONE E INCENTIVAZIONE </w:t>
      </w:r>
    </w:p>
    <w:p w:rsidR="0093672D" w:rsidRPr="000B684C" w:rsidRDefault="0093672D" w:rsidP="00A40CDC">
      <w:pPr>
        <w:spacing w:after="0"/>
        <w:contextualSpacing/>
        <w:jc w:val="center"/>
        <w:rPr>
          <w:b/>
        </w:rPr>
      </w:pPr>
      <w:r w:rsidRPr="000B684C">
        <w:rPr>
          <w:b/>
        </w:rPr>
        <w:t>PER LA RIGENERAZIONE URBANA E TERRITORIALE</w:t>
      </w:r>
    </w:p>
    <w:p w:rsidR="0093672D" w:rsidRPr="000B684C" w:rsidRDefault="0093672D" w:rsidP="00A40CDC">
      <w:pPr>
        <w:spacing w:after="0"/>
        <w:contextualSpacing/>
        <w:jc w:val="center"/>
        <w:rPr>
          <w:b/>
        </w:rPr>
      </w:pPr>
    </w:p>
    <w:p w:rsidR="0093672D" w:rsidRDefault="00D407C0" w:rsidP="00A40CDC">
      <w:pPr>
        <w:spacing w:after="0"/>
        <w:contextualSpacing/>
        <w:jc w:val="center"/>
        <w:rPr>
          <w:b/>
        </w:rPr>
      </w:pPr>
      <w:r w:rsidRPr="000B684C">
        <w:rPr>
          <w:b/>
        </w:rPr>
        <w:t>PROPOSTA DI ARTICOLATO NORMATIVO</w:t>
      </w:r>
    </w:p>
    <w:p w:rsidR="005D7D99" w:rsidRPr="000B684C" w:rsidRDefault="005D7D99" w:rsidP="00A40CDC">
      <w:pPr>
        <w:spacing w:after="0"/>
        <w:contextualSpacing/>
        <w:jc w:val="center"/>
        <w:rPr>
          <w:b/>
        </w:rPr>
      </w:pPr>
    </w:p>
    <w:p w:rsidR="006D309C" w:rsidRPr="005D7D99" w:rsidRDefault="006D309C" w:rsidP="006D309C">
      <w:pPr>
        <w:spacing w:after="0"/>
        <w:contextualSpacing/>
        <w:jc w:val="center"/>
        <w:rPr>
          <w:b/>
          <w:bCs/>
          <w:i/>
          <w:color w:val="C00000"/>
        </w:rPr>
      </w:pPr>
      <w:r w:rsidRPr="005D7D99">
        <w:rPr>
          <w:b/>
          <w:bCs/>
          <w:i/>
          <w:color w:val="C00000"/>
        </w:rPr>
        <w:t>Aggiornato al 2</w:t>
      </w:r>
      <w:r w:rsidR="005D7D99" w:rsidRPr="005D7D99">
        <w:rPr>
          <w:b/>
          <w:bCs/>
          <w:i/>
          <w:color w:val="C00000"/>
        </w:rPr>
        <w:t>2</w:t>
      </w:r>
      <w:r w:rsidR="003951DE" w:rsidRPr="005D7D99">
        <w:rPr>
          <w:b/>
          <w:bCs/>
          <w:i/>
          <w:color w:val="C00000"/>
        </w:rPr>
        <w:t xml:space="preserve"> dicembre</w:t>
      </w:r>
      <w:r w:rsidR="00D031B4" w:rsidRPr="005D7D99">
        <w:rPr>
          <w:b/>
          <w:bCs/>
          <w:i/>
          <w:color w:val="C00000"/>
        </w:rPr>
        <w:t xml:space="preserve"> 2017 a seguito di </w:t>
      </w:r>
      <w:r w:rsidRPr="005D7D99">
        <w:rPr>
          <w:b/>
          <w:bCs/>
          <w:i/>
          <w:color w:val="C00000"/>
        </w:rPr>
        <w:t>riunione plenaria del 11</w:t>
      </w:r>
      <w:r w:rsidR="00D031B4" w:rsidRPr="005D7D99">
        <w:rPr>
          <w:b/>
          <w:bCs/>
          <w:i/>
          <w:color w:val="C00000"/>
        </w:rPr>
        <w:t>/11/17</w:t>
      </w:r>
    </w:p>
    <w:p w:rsidR="0093672D" w:rsidRPr="005D7D99" w:rsidRDefault="006D309C" w:rsidP="006D309C">
      <w:pPr>
        <w:spacing w:after="0"/>
        <w:contextualSpacing/>
        <w:jc w:val="center"/>
        <w:rPr>
          <w:b/>
          <w:bCs/>
          <w:i/>
          <w:color w:val="C00000"/>
        </w:rPr>
      </w:pPr>
      <w:proofErr w:type="gramStart"/>
      <w:r w:rsidRPr="005D7D99">
        <w:rPr>
          <w:b/>
          <w:bCs/>
          <w:i/>
          <w:color w:val="C00000"/>
        </w:rPr>
        <w:t>e</w:t>
      </w:r>
      <w:proofErr w:type="gramEnd"/>
      <w:r w:rsidRPr="005D7D99">
        <w:rPr>
          <w:b/>
          <w:bCs/>
          <w:i/>
          <w:color w:val="C00000"/>
        </w:rPr>
        <w:t xml:space="preserve"> relativi contributi</w:t>
      </w:r>
    </w:p>
    <w:p w:rsidR="006D309C" w:rsidRPr="000B684C" w:rsidRDefault="006D309C" w:rsidP="006D309C">
      <w:pPr>
        <w:spacing w:after="0"/>
        <w:contextualSpacing/>
        <w:jc w:val="center"/>
      </w:pPr>
    </w:p>
    <w:bookmarkEnd w:id="0"/>
    <w:p w:rsidR="0093672D" w:rsidRPr="000B684C" w:rsidRDefault="0093672D" w:rsidP="00A40CDC">
      <w:pPr>
        <w:spacing w:after="0"/>
        <w:contextualSpacing/>
        <w:jc w:val="both"/>
      </w:pPr>
      <w:r w:rsidRPr="000B684C">
        <w:t xml:space="preserve">Il presente documento individua alcune possibili misure di incentivazione e semplificazione rivolte ai processi di rigenerazione agendo sostanzialmente attraverso modifiche e integrazioni all’articolato della </w:t>
      </w:r>
      <w:r w:rsidR="00892412">
        <w:rPr>
          <w:b/>
        </w:rPr>
        <w:t xml:space="preserve">legge regionale 11 marzo 2005, n. </w:t>
      </w:r>
      <w:r w:rsidR="00892412" w:rsidRPr="00892412">
        <w:rPr>
          <w:b/>
        </w:rPr>
        <w:t xml:space="preserve">12 </w:t>
      </w:r>
      <w:r w:rsidRPr="00892412">
        <w:rPr>
          <w:b/>
        </w:rPr>
        <w:t>“Legge per il governo del territorio”</w:t>
      </w:r>
      <w:r w:rsidRPr="000B684C">
        <w:t xml:space="preserve">. </w:t>
      </w:r>
    </w:p>
    <w:p w:rsidR="0093672D" w:rsidRPr="000B684C" w:rsidRDefault="0093672D" w:rsidP="00A40CDC">
      <w:pPr>
        <w:spacing w:after="0"/>
        <w:contextualSpacing/>
        <w:jc w:val="both"/>
      </w:pPr>
    </w:p>
    <w:p w:rsidR="0093672D" w:rsidRPr="000B684C" w:rsidRDefault="0093672D" w:rsidP="00A40CDC">
      <w:pPr>
        <w:spacing w:after="0"/>
        <w:contextualSpacing/>
        <w:jc w:val="both"/>
      </w:pPr>
      <w:r w:rsidRPr="000B684C">
        <w:t>Le proposte comprendono sia la definizione di nuovi articoli, come art. 8 bis</w:t>
      </w:r>
      <w:r w:rsidR="00892412">
        <w:t xml:space="preserve"> </w:t>
      </w:r>
      <w:r w:rsidR="00892412" w:rsidRPr="000B684C">
        <w:t>“</w:t>
      </w:r>
      <w:r w:rsidR="00892412" w:rsidRPr="000B684C">
        <w:rPr>
          <w:bCs/>
          <w:i/>
        </w:rPr>
        <w:t>Rigenerazione urbana e territoriale”</w:t>
      </w:r>
      <w:r w:rsidRPr="000B684C">
        <w:t>, sia modifiche mirate all’interno di articoli vigenti.</w:t>
      </w:r>
    </w:p>
    <w:p w:rsidR="0093672D" w:rsidRPr="000B684C" w:rsidRDefault="0093672D" w:rsidP="00A40CDC">
      <w:pPr>
        <w:spacing w:after="0"/>
        <w:contextualSpacing/>
        <w:jc w:val="both"/>
      </w:pPr>
    </w:p>
    <w:p w:rsidR="0093672D" w:rsidRPr="000B684C" w:rsidRDefault="0093672D" w:rsidP="00A40CDC">
      <w:pPr>
        <w:spacing w:after="0"/>
        <w:contextualSpacing/>
        <w:jc w:val="both"/>
      </w:pPr>
      <w:r w:rsidRPr="000B684C">
        <w:t xml:space="preserve">L’art. 8 bis riprende, rivisitandola, la proposta inserita nel progetto di revisione della </w:t>
      </w:r>
      <w:proofErr w:type="spellStart"/>
      <w:r w:rsidRPr="000B684C">
        <w:t>l.r</w:t>
      </w:r>
      <w:proofErr w:type="spellEnd"/>
      <w:r w:rsidRPr="000B684C">
        <w:t xml:space="preserve">. 12/05. Si tratta quindi di un articolo completamente nuovo che esplicita finalità e definizione della rigenerazione e in coerenza con i criteri del PTR integrato ai sensi della </w:t>
      </w:r>
      <w:proofErr w:type="spellStart"/>
      <w:r w:rsidRPr="000B684C">
        <w:t>l.r</w:t>
      </w:r>
      <w:proofErr w:type="spellEnd"/>
      <w:r w:rsidRPr="000B684C">
        <w:t>. 31/14, di prossima approvazione, ambiti di applicazione e modalità attuative.</w:t>
      </w:r>
    </w:p>
    <w:p w:rsidR="0093672D" w:rsidRPr="000B684C" w:rsidRDefault="0093672D" w:rsidP="00A40CDC">
      <w:pPr>
        <w:spacing w:after="0"/>
        <w:contextualSpacing/>
        <w:jc w:val="both"/>
      </w:pPr>
    </w:p>
    <w:p w:rsidR="0093672D" w:rsidRPr="000B684C" w:rsidRDefault="0093672D" w:rsidP="00A40CDC">
      <w:pPr>
        <w:spacing w:after="0"/>
        <w:contextualSpacing/>
        <w:jc w:val="both"/>
      </w:pPr>
      <w:r w:rsidRPr="000B684C">
        <w:t>La misura di incentivazione relativa agli “</w:t>
      </w:r>
      <w:r w:rsidRPr="000B684C">
        <w:rPr>
          <w:i/>
        </w:rPr>
        <w:t>usi temporanei</w:t>
      </w:r>
      <w:r w:rsidRPr="000B684C">
        <w:t>” è proposta in forma di nuovo articolo della l.r.12/05, anche se non si esclude che possa trovare una più opportuna collocazione all’interno di articoli vigenti.</w:t>
      </w:r>
    </w:p>
    <w:p w:rsidR="002675EF" w:rsidRPr="00A40CDC" w:rsidRDefault="002675EF" w:rsidP="00A40CDC">
      <w:pPr>
        <w:spacing w:after="0"/>
        <w:contextualSpacing/>
        <w:jc w:val="center"/>
        <w:rPr>
          <w:b/>
          <w:bCs/>
          <w:color w:val="002060"/>
        </w:rPr>
      </w:pPr>
    </w:p>
    <w:p w:rsidR="00A23F46" w:rsidRPr="00A40CDC" w:rsidRDefault="00A23F46" w:rsidP="00A40CDC">
      <w:pPr>
        <w:spacing w:after="0"/>
        <w:contextualSpacing/>
        <w:jc w:val="center"/>
        <w:rPr>
          <w:b/>
          <w:bCs/>
          <w:color w:val="002060"/>
        </w:rPr>
      </w:pPr>
    </w:p>
    <w:p w:rsidR="00582989" w:rsidRPr="00D407C0" w:rsidRDefault="003723D8" w:rsidP="00A40CDC">
      <w:pPr>
        <w:spacing w:after="0"/>
        <w:contextualSpacing/>
        <w:jc w:val="center"/>
        <w:rPr>
          <w:b/>
          <w:bCs/>
          <w:u w:val="single"/>
        </w:rPr>
      </w:pPr>
      <w:r w:rsidRPr="00D407C0">
        <w:rPr>
          <w:b/>
          <w:bCs/>
          <w:u w:val="single"/>
        </w:rPr>
        <w:t>Art. 8</w:t>
      </w:r>
      <w:r w:rsidR="009168A8" w:rsidRPr="00D407C0">
        <w:rPr>
          <w:b/>
          <w:bCs/>
          <w:u w:val="single"/>
        </w:rPr>
        <w:t xml:space="preserve"> </w:t>
      </w:r>
      <w:r w:rsidRPr="00D407C0">
        <w:rPr>
          <w:b/>
          <w:bCs/>
          <w:u w:val="single"/>
        </w:rPr>
        <w:t xml:space="preserve">bis </w:t>
      </w:r>
      <w:r w:rsidR="009168A8" w:rsidRPr="00D407C0">
        <w:rPr>
          <w:b/>
          <w:bCs/>
          <w:u w:val="single"/>
        </w:rPr>
        <w:t>-</w:t>
      </w:r>
      <w:r w:rsidRPr="00D407C0">
        <w:rPr>
          <w:b/>
          <w:bCs/>
          <w:u w:val="single"/>
        </w:rPr>
        <w:t xml:space="preserve"> Rigenerazione urbana e territoriale </w:t>
      </w:r>
    </w:p>
    <w:p w:rsidR="00A23F46" w:rsidRPr="00A40CDC" w:rsidRDefault="00A23F46" w:rsidP="00A40CDC">
      <w:pPr>
        <w:spacing w:after="0"/>
        <w:contextualSpacing/>
        <w:jc w:val="center"/>
      </w:pPr>
    </w:p>
    <w:p w:rsidR="001F324A" w:rsidRPr="00A40CDC" w:rsidRDefault="003723D8" w:rsidP="00A40CDC">
      <w:pPr>
        <w:pStyle w:val="Paragrafoelenco"/>
        <w:numPr>
          <w:ilvl w:val="0"/>
          <w:numId w:val="5"/>
        </w:numPr>
        <w:ind w:left="426" w:hanging="426"/>
        <w:jc w:val="both"/>
      </w:pPr>
      <w:r w:rsidRPr="00A40CDC">
        <w:t xml:space="preserve">La Regione riconosce gli interventi di rigenerazione urbana e territoriale quali azioni prioritarie </w:t>
      </w:r>
      <w:proofErr w:type="gramStart"/>
      <w:r w:rsidRPr="00A40CDC">
        <w:t>per</w:t>
      </w:r>
      <w:proofErr w:type="gramEnd"/>
      <w:r w:rsidRPr="00A40CDC">
        <w:t xml:space="preserve"> ridurre il consumo di suolo</w:t>
      </w:r>
      <w:r w:rsidR="001D752D" w:rsidRPr="001D752D">
        <w:t xml:space="preserve"> </w:t>
      </w:r>
      <w:r w:rsidRPr="00A40CDC">
        <w:t>finalizzat</w:t>
      </w:r>
      <w:r w:rsidR="001D752D" w:rsidRPr="001D752D">
        <w:t>i</w:t>
      </w:r>
      <w:r w:rsidRPr="00A40CDC">
        <w:t xml:space="preserve"> al miglioramento della qualità funzionale, ambientale e paesaggistica dei territori e degli insediamenti,</w:t>
      </w:r>
      <w:r w:rsidR="00C95837" w:rsidRPr="00A40CDC">
        <w:t xml:space="preserve"> nonché delle condizioni socio-eco</w:t>
      </w:r>
      <w:r w:rsidR="00825112" w:rsidRPr="00A40CDC">
        <w:t>n</w:t>
      </w:r>
      <w:r w:rsidR="00C95837" w:rsidRPr="00A40CDC">
        <w:t>omiche</w:t>
      </w:r>
      <w:r w:rsidRPr="00A40CDC">
        <w:t xml:space="preserve"> della popolazione</w:t>
      </w:r>
      <w:r w:rsidRPr="006D309C">
        <w:t>.</w:t>
      </w:r>
      <w:r w:rsidR="001F324A" w:rsidRPr="006D309C">
        <w:t xml:space="preserve"> </w:t>
      </w:r>
      <w:r w:rsidR="006C07AD" w:rsidRPr="006D309C">
        <w:t>Oggetto degli interventi dell</w:t>
      </w:r>
      <w:r w:rsidR="00617750" w:rsidRPr="006D309C">
        <w:t xml:space="preserve">a </w:t>
      </w:r>
      <w:r w:rsidR="001F324A" w:rsidRPr="006D309C">
        <w:t xml:space="preserve">rigenerazione </w:t>
      </w:r>
      <w:r w:rsidR="002417E9" w:rsidRPr="006D309C">
        <w:t>sono</w:t>
      </w:r>
      <w:r w:rsidR="00617750" w:rsidRPr="006D309C">
        <w:t xml:space="preserve"> </w:t>
      </w:r>
      <w:r w:rsidR="001F324A" w:rsidRPr="006D309C">
        <w:t>singoli edifici, aree e ambiti</w:t>
      </w:r>
      <w:r w:rsidR="001F324A" w:rsidRPr="00A40CDC">
        <w:t xml:space="preserve"> caratt</w:t>
      </w:r>
      <w:r w:rsidR="001D752D">
        <w:t>erizzati da abbandono</w:t>
      </w:r>
      <w:r w:rsidR="001F324A" w:rsidRPr="00A40CDC">
        <w:t xml:space="preserve"> o anche da un diffuso stato di degrado urbanistico, ambientale, paesaggistico</w:t>
      </w:r>
      <w:r w:rsidR="002417E9">
        <w:t xml:space="preserve"> o</w:t>
      </w:r>
      <w:r w:rsidR="001F324A" w:rsidRPr="00A40CDC">
        <w:t xml:space="preserve"> sociale.</w:t>
      </w:r>
    </w:p>
    <w:p w:rsidR="003A5ABE" w:rsidRPr="00A40CDC" w:rsidRDefault="003A5ABE" w:rsidP="00A40CDC">
      <w:pPr>
        <w:pStyle w:val="Paragrafoelenco"/>
        <w:ind w:left="426"/>
        <w:jc w:val="both"/>
      </w:pPr>
    </w:p>
    <w:p w:rsidR="003723D8" w:rsidRPr="00A40CDC" w:rsidRDefault="003723D8" w:rsidP="00A40CDC">
      <w:pPr>
        <w:pStyle w:val="Paragrafoelenco"/>
        <w:numPr>
          <w:ilvl w:val="0"/>
          <w:numId w:val="5"/>
        </w:numPr>
        <w:ind w:left="426" w:hanging="426"/>
        <w:jc w:val="both"/>
      </w:pPr>
      <w:r w:rsidRPr="00230649">
        <w:t xml:space="preserve">Per rigenerazione urbana si intende </w:t>
      </w:r>
      <w:r w:rsidR="00F64D4B">
        <w:t>l’</w:t>
      </w:r>
      <w:r w:rsidRPr="00230649">
        <w:t>insieme coordinato di intervent</w:t>
      </w:r>
      <w:r w:rsidR="00001CFE" w:rsidRPr="00230649">
        <w:t>i urbanistic</w:t>
      </w:r>
      <w:r w:rsidR="00A50ABC" w:rsidRPr="00230649">
        <w:t>o-</w:t>
      </w:r>
      <w:r w:rsidR="00001CFE" w:rsidRPr="00230649">
        <w:t xml:space="preserve">edilizi e </w:t>
      </w:r>
      <w:r w:rsidR="00A50ABC" w:rsidRPr="00230649">
        <w:t xml:space="preserve">di iniziative sociali che </w:t>
      </w:r>
      <w:r w:rsidR="005341DF">
        <w:t xml:space="preserve">possono </w:t>
      </w:r>
      <w:r w:rsidR="00A50ABC" w:rsidRPr="006D309C">
        <w:t>includ</w:t>
      </w:r>
      <w:r w:rsidR="005341DF" w:rsidRPr="006D309C">
        <w:t>ere</w:t>
      </w:r>
      <w:r w:rsidR="000B4E93" w:rsidRPr="006D309C">
        <w:t xml:space="preserve"> </w:t>
      </w:r>
      <w:r w:rsidRPr="006D309C">
        <w:t>la sostituzione, il</w:t>
      </w:r>
      <w:r w:rsidRPr="00230649">
        <w:t xml:space="preserve"> riuso</w:t>
      </w:r>
      <w:r w:rsidR="00EF01ED" w:rsidRPr="00230649">
        <w:t>,</w:t>
      </w:r>
      <w:r w:rsidRPr="00230649">
        <w:t xml:space="preserve"> la riqualificazione dell’ambiente costruito</w:t>
      </w:r>
      <w:r w:rsidR="00EF01ED" w:rsidRPr="00230649">
        <w:t xml:space="preserve"> e</w:t>
      </w:r>
      <w:r w:rsidRPr="00230649">
        <w:t xml:space="preserve"> la riorganizzazione dell’assetto urbano attraverso il recupero delle aree degradate, sottoutilizzate e dismesse</w:t>
      </w:r>
      <w:r w:rsidR="00001CFE" w:rsidRPr="00230649">
        <w:t>,</w:t>
      </w:r>
      <w:r w:rsidRPr="00230649">
        <w:t xml:space="preserve"> </w:t>
      </w:r>
      <w:r w:rsidR="00F16532" w:rsidRPr="00A40CDC">
        <w:t xml:space="preserve">nonché attraverso la realizzazione di attrezzature, infrastrutture, spazi verdi, servizi e il recupero o il potenziamento di quelli esistenti, </w:t>
      </w:r>
      <w:r w:rsidRPr="00A40CDC">
        <w:t xml:space="preserve">in un’ottica di sostenibilità ambientale, sociale e di incremento </w:t>
      </w:r>
      <w:r w:rsidR="00001CFE" w:rsidRPr="00A40CDC">
        <w:t>della biodiversità d</w:t>
      </w:r>
      <w:r w:rsidRPr="00A40CDC">
        <w:t>ell’ambiente urbano</w:t>
      </w:r>
      <w:r w:rsidR="00F16532" w:rsidRPr="00A40CDC">
        <w:t>.</w:t>
      </w:r>
      <w:r w:rsidR="006D309C">
        <w:rPr>
          <w:rStyle w:val="Rimandonotaapidipagina"/>
        </w:rPr>
        <w:footnoteReference w:id="1"/>
      </w:r>
    </w:p>
    <w:p w:rsidR="003A5ABE" w:rsidRPr="00A40CDC" w:rsidRDefault="003A5ABE" w:rsidP="00A40CDC">
      <w:pPr>
        <w:pStyle w:val="Paragrafoelenco"/>
      </w:pPr>
    </w:p>
    <w:p w:rsidR="00997192" w:rsidRDefault="003723D8" w:rsidP="00F93A41">
      <w:pPr>
        <w:pStyle w:val="Paragrafoelenco"/>
        <w:numPr>
          <w:ilvl w:val="0"/>
          <w:numId w:val="5"/>
        </w:numPr>
        <w:autoSpaceDE w:val="0"/>
        <w:autoSpaceDN w:val="0"/>
        <w:adjustRightInd w:val="0"/>
        <w:spacing w:after="240" w:line="240" w:lineRule="auto"/>
        <w:ind w:left="426" w:hanging="426"/>
        <w:jc w:val="both"/>
      </w:pPr>
      <w:r w:rsidRPr="00A40CDC">
        <w:t xml:space="preserve">Per rigenerazione territoriale si intende un insieme coordinato di azioni, </w:t>
      </w:r>
      <w:r w:rsidR="00B25BBA" w:rsidRPr="00C23FD2">
        <w:t xml:space="preserve">che includono </w:t>
      </w:r>
      <w:r w:rsidR="00232481" w:rsidRPr="00C23FD2">
        <w:t xml:space="preserve">la </w:t>
      </w:r>
      <w:r w:rsidR="00B25BBA" w:rsidRPr="00C23FD2">
        <w:t>sostituzione, il riuso, la riqualificazione,</w:t>
      </w:r>
      <w:r w:rsidRPr="00C23FD2">
        <w:t xml:space="preserve"> </w:t>
      </w:r>
      <w:r w:rsidRPr="00A40CDC">
        <w:t xml:space="preserve">per la risoluzione di situazioni di degrado urbanistico, </w:t>
      </w:r>
      <w:r w:rsidRPr="00A40CDC">
        <w:lastRenderedPageBreak/>
        <w:t>ambientale, paesaggistico, sociale che mirano in particolare a salvaguardare e ripristinare il suolo in termini qualitativi per prevenire conseguenze negative per la salute umana, gli ecosistemi e le risorse naturali.</w:t>
      </w:r>
    </w:p>
    <w:p w:rsidR="00997192" w:rsidRDefault="00997192" w:rsidP="00997192">
      <w:pPr>
        <w:pStyle w:val="Paragrafoelenco"/>
        <w:autoSpaceDE w:val="0"/>
        <w:autoSpaceDN w:val="0"/>
        <w:adjustRightInd w:val="0"/>
        <w:spacing w:after="240" w:line="240" w:lineRule="auto"/>
        <w:ind w:left="426"/>
        <w:jc w:val="both"/>
      </w:pPr>
    </w:p>
    <w:p w:rsidR="00632174" w:rsidRPr="00997192" w:rsidRDefault="00632174" w:rsidP="00F93A41">
      <w:pPr>
        <w:pStyle w:val="Paragrafoelenco"/>
        <w:numPr>
          <w:ilvl w:val="0"/>
          <w:numId w:val="5"/>
        </w:numPr>
        <w:autoSpaceDE w:val="0"/>
        <w:autoSpaceDN w:val="0"/>
        <w:adjustRightInd w:val="0"/>
        <w:spacing w:after="240" w:line="240" w:lineRule="auto"/>
        <w:ind w:left="426" w:hanging="426"/>
        <w:jc w:val="both"/>
      </w:pPr>
      <w:r w:rsidRPr="00997192">
        <w:t>Al fine di perseguire gli obiettivi di rigenerazione urbana e territoriale, il PTR articola la rigenerazione dei territori e degli insediamenti alla scala regionale, d’area vasta e comunale, definendo in particolare:</w:t>
      </w:r>
    </w:p>
    <w:p w:rsidR="00632174" w:rsidRDefault="00632174" w:rsidP="00632174">
      <w:pPr>
        <w:autoSpaceDE w:val="0"/>
        <w:autoSpaceDN w:val="0"/>
        <w:adjustRightInd w:val="0"/>
        <w:spacing w:after="240" w:line="240" w:lineRule="auto"/>
        <w:ind w:left="720"/>
        <w:jc w:val="both"/>
        <w:rPr>
          <w:rFonts w:eastAsiaTheme="minorHAnsi"/>
          <w:color w:val="000000"/>
        </w:rPr>
      </w:pPr>
      <w:r>
        <w:rPr>
          <w:rFonts w:eastAsiaTheme="minorHAnsi"/>
          <w:color w:val="000000"/>
        </w:rPr>
        <w:t>a) le caratteristiche delle aree della rigenerazione alle diverse scale;</w:t>
      </w:r>
    </w:p>
    <w:p w:rsidR="00632174" w:rsidRDefault="00632174" w:rsidP="00632174">
      <w:pPr>
        <w:autoSpaceDE w:val="0"/>
        <w:autoSpaceDN w:val="0"/>
        <w:adjustRightInd w:val="0"/>
        <w:spacing w:after="240" w:line="240" w:lineRule="auto"/>
        <w:ind w:left="720"/>
        <w:jc w:val="both"/>
        <w:rPr>
          <w:rFonts w:eastAsiaTheme="minorHAnsi"/>
          <w:color w:val="000000"/>
        </w:rPr>
      </w:pPr>
      <w:r>
        <w:rPr>
          <w:rFonts w:eastAsiaTheme="minorHAnsi"/>
          <w:color w:val="000000"/>
        </w:rPr>
        <w:t>b) le strategie, gli strumenti e le modalità di attuazione per il raggiungimento degli obiettivi della rigenerazione in coerenza con l’articolazione alle diverse scale;</w:t>
      </w:r>
    </w:p>
    <w:p w:rsidR="00CF6AA3" w:rsidRPr="00CF6AA3" w:rsidRDefault="00632174" w:rsidP="00632174">
      <w:pPr>
        <w:pStyle w:val="Paragrafoelenco"/>
        <w:jc w:val="both"/>
      </w:pPr>
      <w:r>
        <w:rPr>
          <w:rFonts w:eastAsiaTheme="minorHAnsi"/>
          <w:color w:val="000000"/>
        </w:rPr>
        <w:t>c) specifiche azioni di riqualificazione paesaggistica e contenimento del degrado, disponendo il recupero delle aree compromesse o degradate, anche in riferimento ad azioni di valorizzazione e recupero da attuarsi negli ambiti di ricomposizione della Rete Verde Regionale anche in coerenza con il Piano Paesaggistico Regionale.</w:t>
      </w:r>
    </w:p>
    <w:p w:rsidR="0022303E" w:rsidRPr="00A40CDC" w:rsidRDefault="0022303E" w:rsidP="00A40CDC">
      <w:pPr>
        <w:pStyle w:val="Paragrafoelenco"/>
        <w:jc w:val="both"/>
      </w:pPr>
    </w:p>
    <w:p w:rsidR="003A5ABE" w:rsidRPr="00A40CDC" w:rsidRDefault="00211AFB" w:rsidP="00A40CDC">
      <w:pPr>
        <w:pStyle w:val="Paragrafoelenco"/>
        <w:numPr>
          <w:ilvl w:val="0"/>
          <w:numId w:val="5"/>
        </w:numPr>
        <w:ind w:left="426" w:hanging="426"/>
        <w:jc w:val="both"/>
      </w:pPr>
      <w:r w:rsidRPr="00A40CDC">
        <w:t xml:space="preserve">La Regione individua forme di incentivazione e semplificazione procedurale per le azioni di rigenerazione anche con riferimento ai contenuti della </w:t>
      </w:r>
      <w:proofErr w:type="spellStart"/>
      <w:r w:rsidRPr="00A40CDC">
        <w:t>D</w:t>
      </w:r>
      <w:r w:rsidR="009168A8">
        <w:t>.</w:t>
      </w:r>
      <w:r w:rsidRPr="00A40CDC">
        <w:t>g</w:t>
      </w:r>
      <w:r w:rsidR="009168A8">
        <w:t>.</w:t>
      </w:r>
      <w:r w:rsidRPr="00A40CDC">
        <w:t>r</w:t>
      </w:r>
      <w:proofErr w:type="spellEnd"/>
      <w:r w:rsidR="009168A8">
        <w:t>.</w:t>
      </w:r>
      <w:r w:rsidRPr="00A40CDC">
        <w:t xml:space="preserve"> </w:t>
      </w:r>
      <w:r w:rsidR="00F16532" w:rsidRPr="00A40CDC">
        <w:t xml:space="preserve">di cui all’art. </w:t>
      </w:r>
      <w:r w:rsidR="00573A5A" w:rsidRPr="00A40CDC">
        <w:t>4, comma 2,</w:t>
      </w:r>
      <w:r w:rsidRPr="00A40CDC">
        <w:t xml:space="preserve"> della </w:t>
      </w:r>
      <w:proofErr w:type="spellStart"/>
      <w:r w:rsidRPr="00A40CDC">
        <w:t>l.r</w:t>
      </w:r>
      <w:proofErr w:type="spellEnd"/>
      <w:r w:rsidRPr="00A40CDC">
        <w:t xml:space="preserve">. 31/14; </w:t>
      </w:r>
      <w:r w:rsidR="00595AC6" w:rsidRPr="00A40CDC">
        <w:t xml:space="preserve">l’avvio di interventi di rigenerazione rappresenta una delle </w:t>
      </w:r>
      <w:r w:rsidR="003A5ABE" w:rsidRPr="00A40CDC">
        <w:t>priorità</w:t>
      </w:r>
      <w:r w:rsidR="00595AC6" w:rsidRPr="00A40CDC">
        <w:t xml:space="preserve"> da prendere in considerazione</w:t>
      </w:r>
      <w:r w:rsidR="003A5ABE" w:rsidRPr="00A40CDC">
        <w:t xml:space="preserve"> nella concessione di finanziamenti regionali</w:t>
      </w:r>
      <w:r w:rsidR="00997192">
        <w:rPr>
          <w:rStyle w:val="Rimandonotaapidipagina"/>
        </w:rPr>
        <w:footnoteReference w:id="2"/>
      </w:r>
      <w:r w:rsidR="00997192">
        <w:t>.</w:t>
      </w:r>
    </w:p>
    <w:p w:rsidR="003A5ABE" w:rsidRPr="00A40CDC" w:rsidRDefault="003A5ABE" w:rsidP="00A40CDC">
      <w:pPr>
        <w:pStyle w:val="Paragrafoelenco"/>
        <w:ind w:left="426"/>
        <w:jc w:val="both"/>
      </w:pPr>
    </w:p>
    <w:p w:rsidR="00ED5C1D" w:rsidRPr="005D7D99" w:rsidRDefault="00D824FC" w:rsidP="00AE77B9">
      <w:pPr>
        <w:pStyle w:val="Paragrafoelenco"/>
        <w:numPr>
          <w:ilvl w:val="0"/>
          <w:numId w:val="5"/>
        </w:numPr>
        <w:ind w:left="426" w:hanging="426"/>
        <w:jc w:val="both"/>
      </w:pPr>
      <w:r w:rsidRPr="005D7D99">
        <w:t>In fase di prima approvazione, l’individuazione degli ambiti di cui all’art. 8 comma 2 lettera e-</w:t>
      </w:r>
      <w:proofErr w:type="spellStart"/>
      <w:r w:rsidRPr="005D7D99">
        <w:t>quinquies</w:t>
      </w:r>
      <w:proofErr w:type="spellEnd"/>
      <w:r w:rsidRPr="005D7D99">
        <w:t>) è effettuata con deliberazione del consiglio comunale</w:t>
      </w:r>
      <w:r w:rsidR="008377C4" w:rsidRPr="005D7D99">
        <w:t xml:space="preserve">. </w:t>
      </w:r>
      <w:r w:rsidR="00ED5C1D" w:rsidRPr="005D7D99">
        <w:t>In coerenza con le disposizioni del suddetto comma</w:t>
      </w:r>
      <w:r w:rsidR="000F4E52" w:rsidRPr="005D7D99">
        <w:rPr>
          <w:rStyle w:val="Rimandonotaapidipagina"/>
        </w:rPr>
        <w:footnoteReference w:id="3"/>
      </w:r>
      <w:r w:rsidR="00ED5C1D" w:rsidRPr="005D7D99">
        <w:t xml:space="preserve">, tale deliberazione: </w:t>
      </w:r>
    </w:p>
    <w:p w:rsidR="00ED384F" w:rsidRPr="005D7D99" w:rsidRDefault="004D1B5E" w:rsidP="009F3DC1">
      <w:pPr>
        <w:pStyle w:val="Paragrafoelenco"/>
        <w:numPr>
          <w:ilvl w:val="0"/>
          <w:numId w:val="6"/>
        </w:numPr>
        <w:spacing w:after="0"/>
        <w:ind w:left="709" w:hanging="284"/>
        <w:jc w:val="both"/>
      </w:pPr>
      <w:proofErr w:type="gramStart"/>
      <w:r w:rsidRPr="005D7D99">
        <w:t>individua</w:t>
      </w:r>
      <w:proofErr w:type="gramEnd"/>
      <w:r w:rsidRPr="005D7D99">
        <w:t xml:space="preserve"> le misure di incentivazione previste dall’art. 11, c</w:t>
      </w:r>
      <w:r w:rsidR="00FF6A55" w:rsidRPr="005D7D99">
        <w:t>omma</w:t>
      </w:r>
      <w:r w:rsidRPr="005D7D99">
        <w:t xml:space="preserve"> 5 e </w:t>
      </w:r>
      <w:r w:rsidR="00B8628D" w:rsidRPr="005D7D99">
        <w:t xml:space="preserve">definisce </w:t>
      </w:r>
      <w:r w:rsidR="00373BC2" w:rsidRPr="005D7D99">
        <w:t xml:space="preserve">la </w:t>
      </w:r>
      <w:r w:rsidRPr="005D7D99">
        <w:t>riduzione del contributo di costruzione di cui all'articolo 43</w:t>
      </w:r>
      <w:r w:rsidR="00ED384F" w:rsidRPr="005D7D99">
        <w:t xml:space="preserve"> per gli interventi di ristrutturazione urbanistica </w:t>
      </w:r>
      <w:r w:rsidR="005647D6" w:rsidRPr="005D7D99">
        <w:t xml:space="preserve">ivi </w:t>
      </w:r>
      <w:r w:rsidR="00ED384F" w:rsidRPr="005D7D99">
        <w:t>previsti;</w:t>
      </w:r>
      <w:r w:rsidRPr="005D7D99">
        <w:t xml:space="preserve"> </w:t>
      </w:r>
    </w:p>
    <w:p w:rsidR="00ED384F" w:rsidRPr="005D7D99" w:rsidRDefault="00CA612F" w:rsidP="009F3DC1">
      <w:pPr>
        <w:pStyle w:val="Paragrafoelenco"/>
        <w:numPr>
          <w:ilvl w:val="0"/>
          <w:numId w:val="6"/>
        </w:numPr>
        <w:spacing w:after="0"/>
        <w:ind w:left="709" w:hanging="284"/>
      </w:pPr>
      <w:proofErr w:type="gramStart"/>
      <w:r w:rsidRPr="005D7D99">
        <w:t>prevede</w:t>
      </w:r>
      <w:proofErr w:type="gramEnd"/>
      <w:r w:rsidR="00FF6A55" w:rsidRPr="005D7D99">
        <w:t xml:space="preserve"> l’applicazione dell’art. 51, comma 1. </w:t>
      </w:r>
    </w:p>
    <w:p w:rsidR="00AF3446" w:rsidRPr="005D7D99" w:rsidRDefault="00AF3446" w:rsidP="00AF3446">
      <w:pPr>
        <w:pStyle w:val="Paragrafoelenco"/>
        <w:ind w:left="709"/>
      </w:pPr>
    </w:p>
    <w:p w:rsidR="007D5C49" w:rsidRPr="005D7D99" w:rsidRDefault="001371DC" w:rsidP="00CE1264">
      <w:pPr>
        <w:pStyle w:val="Paragrafoelenco"/>
        <w:numPr>
          <w:ilvl w:val="0"/>
          <w:numId w:val="5"/>
        </w:numPr>
        <w:ind w:left="426" w:hanging="426"/>
        <w:jc w:val="both"/>
      </w:pPr>
      <w:r w:rsidRPr="005D7D99">
        <w:t>Ai fini dell</w:t>
      </w:r>
      <w:r w:rsidR="00CE1264" w:rsidRPr="005D7D99">
        <w:t>a promozione</w:t>
      </w:r>
      <w:r w:rsidRPr="005D7D99">
        <w:t xml:space="preserve"> degli interventi di rigenerazione il comune può sempre attivare </w:t>
      </w:r>
      <w:r w:rsidR="0004077A" w:rsidRPr="005D7D99">
        <w:t>le procedure derogatorie di cui a</w:t>
      </w:r>
      <w:r w:rsidRPr="005D7D99">
        <w:t xml:space="preserve">ll’art. 40 della </w:t>
      </w:r>
      <w:proofErr w:type="spellStart"/>
      <w:r w:rsidR="0004077A" w:rsidRPr="005D7D99">
        <w:t>l.r</w:t>
      </w:r>
      <w:proofErr w:type="spellEnd"/>
      <w:r w:rsidR="0004077A" w:rsidRPr="005D7D99">
        <w:t xml:space="preserve">. </w:t>
      </w:r>
      <w:r w:rsidRPr="005D7D99">
        <w:t>1</w:t>
      </w:r>
      <w:r w:rsidR="0004077A" w:rsidRPr="005D7D99">
        <w:t xml:space="preserve">2/05 e di cui </w:t>
      </w:r>
      <w:r w:rsidR="00632174" w:rsidRPr="005D7D99">
        <w:t>al</w:t>
      </w:r>
      <w:r w:rsidR="0004077A" w:rsidRPr="005D7D99">
        <w:t xml:space="preserve">l’art. 14, comma 1 bis, del </w:t>
      </w:r>
      <w:proofErr w:type="spellStart"/>
      <w:r w:rsidR="0004077A" w:rsidRPr="005D7D99">
        <w:t>d.p.r.</w:t>
      </w:r>
      <w:proofErr w:type="spellEnd"/>
      <w:r w:rsidR="0004077A" w:rsidRPr="005D7D99">
        <w:t xml:space="preserve"> 380/2001</w:t>
      </w:r>
      <w:r w:rsidR="00CE1264" w:rsidRPr="005D7D99">
        <w:t>, in particolare per motivazioni riferibili all’ordine pubblico, alla sicurezza, alla salute pubblica, alla qualità dell’ambiente e al degrado sociale. In tali casi la deliberazione di consiglio comunale prevista da</w:t>
      </w:r>
      <w:r w:rsidR="006C7654" w:rsidRPr="005D7D99">
        <w:t>lle</w:t>
      </w:r>
      <w:r w:rsidR="00CE1264" w:rsidRPr="005D7D99">
        <w:t xml:space="preserve"> suddette normative definisce i contenuti di massima dell’intervento in termini di edificabilità, destinazioni d’uso, spazi da destinare ad attrezzature di interesse generale e realizzazione di opere, nonché una prima quantificazione degli oneri</w:t>
      </w:r>
      <w:r w:rsidR="00B37AB0" w:rsidRPr="005D7D99">
        <w:t>.</w:t>
      </w:r>
    </w:p>
    <w:p w:rsidR="002C5008" w:rsidRPr="005D7D99" w:rsidRDefault="002C5008" w:rsidP="002C5008">
      <w:pPr>
        <w:pStyle w:val="Paragrafoelenco"/>
        <w:ind w:left="426"/>
        <w:jc w:val="both"/>
      </w:pPr>
    </w:p>
    <w:p w:rsidR="00950C4B" w:rsidRPr="005D7D99" w:rsidRDefault="00B37AB0" w:rsidP="00CE1264">
      <w:pPr>
        <w:pStyle w:val="Paragrafoelenco"/>
        <w:numPr>
          <w:ilvl w:val="0"/>
          <w:numId w:val="5"/>
        </w:numPr>
        <w:ind w:left="426" w:hanging="426"/>
        <w:jc w:val="both"/>
      </w:pPr>
      <w:r w:rsidRPr="005D7D99">
        <w:t xml:space="preserve">Gli interventi di rigenerazione devono essere accompagnati da una valutazione economico-finanziaria </w:t>
      </w:r>
      <w:r w:rsidR="00B6283C" w:rsidRPr="005D7D99">
        <w:t xml:space="preserve">a </w:t>
      </w:r>
      <w:r w:rsidRPr="005D7D99">
        <w:t xml:space="preserve">supporto alla quantificazione del valore economico delle trasformazioni </w:t>
      </w:r>
      <w:r w:rsidRPr="005D7D99">
        <w:lastRenderedPageBreak/>
        <w:t xml:space="preserve">urbanistiche e degli investimenti a esse collegati. </w:t>
      </w:r>
      <w:r w:rsidR="009545CE" w:rsidRPr="005D7D99">
        <w:t xml:space="preserve">La Giunta regionale </w:t>
      </w:r>
      <w:r w:rsidR="00950C4B" w:rsidRPr="005D7D99">
        <w:t>individua i requisiti minimi per l’elaborazione della valutazione economico-finanziaria degli interventi.</w:t>
      </w:r>
    </w:p>
    <w:p w:rsidR="00E760BB" w:rsidRDefault="00E760BB" w:rsidP="00A40CDC">
      <w:pPr>
        <w:contextualSpacing/>
        <w:jc w:val="center"/>
        <w:rPr>
          <w:b/>
          <w:u w:val="single"/>
        </w:rPr>
      </w:pPr>
    </w:p>
    <w:p w:rsidR="00001CFE" w:rsidRPr="00D407C0" w:rsidRDefault="003A5ABE" w:rsidP="00A40CDC">
      <w:pPr>
        <w:contextualSpacing/>
        <w:jc w:val="center"/>
        <w:rPr>
          <w:b/>
          <w:u w:val="single"/>
        </w:rPr>
      </w:pPr>
      <w:r w:rsidRPr="00D407C0">
        <w:rPr>
          <w:b/>
          <w:u w:val="single"/>
        </w:rPr>
        <w:t>M</w:t>
      </w:r>
      <w:r w:rsidR="00001CFE" w:rsidRPr="00D407C0">
        <w:rPr>
          <w:b/>
          <w:u w:val="single"/>
        </w:rPr>
        <w:t>isure di semplific</w:t>
      </w:r>
      <w:r w:rsidR="00F20B2A" w:rsidRPr="00D407C0">
        <w:rPr>
          <w:b/>
          <w:u w:val="single"/>
        </w:rPr>
        <w:t>azione e incentivazione</w:t>
      </w:r>
      <w:r w:rsidR="00D824FC" w:rsidRPr="00D407C0">
        <w:rPr>
          <w:b/>
          <w:u w:val="single"/>
        </w:rPr>
        <w:t xml:space="preserve"> sviluppate in forma di articolato</w:t>
      </w:r>
    </w:p>
    <w:p w:rsidR="00A40CDC" w:rsidRPr="00A40CDC" w:rsidRDefault="00A40CDC" w:rsidP="00A40CDC">
      <w:pPr>
        <w:contextualSpacing/>
        <w:jc w:val="center"/>
        <w:rPr>
          <w:b/>
        </w:rPr>
      </w:pPr>
    </w:p>
    <w:p w:rsidR="00316547" w:rsidRPr="00A40CDC" w:rsidRDefault="00CF4B0A" w:rsidP="00A40CDC">
      <w:pPr>
        <w:spacing w:after="0"/>
        <w:contextualSpacing/>
        <w:jc w:val="both"/>
      </w:pPr>
      <w:r w:rsidRPr="00A40CDC">
        <w:rPr>
          <w:b/>
        </w:rPr>
        <w:t xml:space="preserve">L’art. 10, comma 1-bis </w:t>
      </w:r>
      <w:r w:rsidR="00825112" w:rsidRPr="00A40CDC">
        <w:rPr>
          <w:b/>
        </w:rPr>
        <w:t>è modificato</w:t>
      </w:r>
      <w:r w:rsidR="00825112" w:rsidRPr="00A40CDC">
        <w:t xml:space="preserve"> come segue</w:t>
      </w:r>
      <w:r w:rsidR="00573A5A" w:rsidRPr="00A40CDC">
        <w:t xml:space="preserve"> e spostato come </w:t>
      </w:r>
      <w:r w:rsidR="00573A5A" w:rsidRPr="00A40CDC">
        <w:rPr>
          <w:b/>
        </w:rPr>
        <w:t>nuovo comma 2 quater dell’art. 43</w:t>
      </w:r>
      <w:r w:rsidR="00825112" w:rsidRPr="00A40CDC">
        <w:t xml:space="preserve">: </w:t>
      </w:r>
      <w:r w:rsidR="00825112" w:rsidRPr="009168A8">
        <w:rPr>
          <w:color w:val="5B9BD5" w:themeColor="accent1"/>
        </w:rPr>
        <w:t>“</w:t>
      </w:r>
      <w:r w:rsidR="00825112" w:rsidRPr="00A40CDC">
        <w:rPr>
          <w:b/>
          <w:color w:val="0070C0"/>
        </w:rPr>
        <w:t>Negli</w:t>
      </w:r>
      <w:r w:rsidRPr="00A40CDC">
        <w:rPr>
          <w:b/>
          <w:color w:val="0070C0"/>
        </w:rPr>
        <w:t xml:space="preserve"> </w:t>
      </w:r>
      <w:r w:rsidR="00825112" w:rsidRPr="00A40CDC">
        <w:rPr>
          <w:b/>
          <w:color w:val="0070C0"/>
        </w:rPr>
        <w:t xml:space="preserve">ambiti </w:t>
      </w:r>
      <w:r w:rsidRPr="00A40CDC">
        <w:rPr>
          <w:b/>
          <w:color w:val="0070C0"/>
        </w:rPr>
        <w:t>della rigenerazione in cui vengano previsti interventi di ristrutturazione urbanistica,</w:t>
      </w:r>
      <w:r w:rsidR="00D10887" w:rsidRPr="00A40CDC">
        <w:rPr>
          <w:b/>
          <w:color w:val="0070C0"/>
        </w:rPr>
        <w:t xml:space="preserve"> il contributo di costruzione </w:t>
      </w:r>
      <w:r w:rsidR="00504E63" w:rsidRPr="00A40CDC">
        <w:rPr>
          <w:b/>
          <w:color w:val="0070C0"/>
        </w:rPr>
        <w:t xml:space="preserve">di cui all’art. 43 </w:t>
      </w:r>
      <w:r w:rsidR="00D10887" w:rsidRPr="00A40CDC">
        <w:rPr>
          <w:b/>
          <w:color w:val="0070C0"/>
        </w:rPr>
        <w:t>è ridotto del 50%, salva la facoltà per i comuni di prevedere ulteriori riduzioni</w:t>
      </w:r>
      <w:r w:rsidR="00D10887" w:rsidRPr="00A40CDC">
        <w:t>.</w:t>
      </w:r>
      <w:r w:rsidR="00C95010" w:rsidRPr="009168A8">
        <w:rPr>
          <w:color w:val="5B9BD5" w:themeColor="accent1"/>
        </w:rPr>
        <w:t>”</w:t>
      </w:r>
      <w:r w:rsidR="00504E63" w:rsidRPr="00A40CDC">
        <w:rPr>
          <w:b/>
          <w:color w:val="0070C0"/>
        </w:rPr>
        <w:t xml:space="preserve"> </w:t>
      </w:r>
      <w:r w:rsidR="00316547" w:rsidRPr="00A40CDC">
        <w:rPr>
          <w:b/>
          <w:color w:val="0070C0"/>
        </w:rPr>
        <w:t xml:space="preserve"> </w:t>
      </w:r>
      <w:r w:rsidR="00316547" w:rsidRPr="00A40CDC">
        <w:t>(Vigente comma 1-bis. Il piano delle regole deve prevedere, per gli ambiti di rigenerazione urbana in cui vengano previsti interventi di ristrutturazione urbanistica, la riduzione del contributo di costruzione di cui all'articolo 43)</w:t>
      </w:r>
      <w:r w:rsidR="00A23F46" w:rsidRPr="00A40CDC">
        <w:t>.</w:t>
      </w:r>
    </w:p>
    <w:p w:rsidR="00A40CDC" w:rsidRPr="00A40CDC" w:rsidRDefault="00A40CDC" w:rsidP="00A40CDC">
      <w:pPr>
        <w:spacing w:after="0"/>
        <w:contextualSpacing/>
        <w:jc w:val="both"/>
      </w:pPr>
    </w:p>
    <w:p w:rsidR="00A0555E" w:rsidRPr="00A40CDC" w:rsidRDefault="00A0555E" w:rsidP="00A40CDC">
      <w:pPr>
        <w:spacing w:after="0"/>
        <w:contextualSpacing/>
        <w:jc w:val="both"/>
        <w:rPr>
          <w:bCs/>
        </w:rPr>
      </w:pPr>
      <w:r w:rsidRPr="00A40CDC">
        <w:rPr>
          <w:b/>
        </w:rPr>
        <w:t>Modifica all’art.</w:t>
      </w:r>
      <w:r w:rsidRPr="00A40CDC">
        <w:t xml:space="preserve"> </w:t>
      </w:r>
      <w:r w:rsidRPr="00A40CDC">
        <w:rPr>
          <w:b/>
        </w:rPr>
        <w:t>11</w:t>
      </w:r>
      <w:r w:rsidR="005C0679" w:rsidRPr="00A40CDC">
        <w:rPr>
          <w:b/>
        </w:rPr>
        <w:t>,</w:t>
      </w:r>
      <w:r w:rsidRPr="00A40CDC">
        <w:rPr>
          <w:b/>
        </w:rPr>
        <w:t xml:space="preserve"> comma 5</w:t>
      </w:r>
      <w:r w:rsidRPr="00A40CDC">
        <w:t xml:space="preserve">: </w:t>
      </w:r>
      <w:r w:rsidR="00A23F46" w:rsidRPr="00A40CDC">
        <w:t>“</w:t>
      </w:r>
      <w:r w:rsidRPr="00A40CDC">
        <w:rPr>
          <w:bCs/>
        </w:rPr>
        <w:t>Il do</w:t>
      </w:r>
      <w:r w:rsidR="00480A1C" w:rsidRPr="00A40CDC">
        <w:rPr>
          <w:bCs/>
        </w:rPr>
        <w:t xml:space="preserve">cumento di piano può prevedere </w:t>
      </w:r>
      <w:r w:rsidRPr="00A40CDC">
        <w:rPr>
          <w:bCs/>
        </w:rPr>
        <w:t>una disciplina di incentivazione, in misura non superiore al 15 per cento della volumetria ammessa,</w:t>
      </w:r>
      <w:r w:rsidRPr="00A40CDC">
        <w:rPr>
          <w:b/>
          <w:bCs/>
        </w:rPr>
        <w:t xml:space="preserve"> </w:t>
      </w:r>
      <w:r w:rsidRPr="00A40CDC">
        <w:rPr>
          <w:b/>
          <w:color w:val="0070C0"/>
        </w:rPr>
        <w:t>fatto salvo quanto disposto all’articolo 97 bis. Tale incentivazione, consistente nell'attribuzione di indici differenziati, può essere prevista</w:t>
      </w:r>
      <w:r w:rsidRPr="00A40CDC">
        <w:rPr>
          <w:bCs/>
        </w:rPr>
        <w:t xml:space="preserve"> per interventi ricompresi in piani attuativi finalizzati alla riqualificazione urbana e</w:t>
      </w:r>
      <w:r w:rsidRPr="00A40CDC">
        <w:rPr>
          <w:b/>
          <w:bCs/>
        </w:rPr>
        <w:t xml:space="preserve"> </w:t>
      </w:r>
      <w:r w:rsidRPr="00A40CDC">
        <w:rPr>
          <w:b/>
          <w:color w:val="0070C0"/>
        </w:rPr>
        <w:t>per la realizzazione di servizi abitativi pubblici e socia</w:t>
      </w:r>
      <w:r w:rsidR="003748DD" w:rsidRPr="00A40CDC">
        <w:rPr>
          <w:b/>
          <w:color w:val="0070C0"/>
        </w:rPr>
        <w:t xml:space="preserve">li, ai sensi della </w:t>
      </w:r>
      <w:proofErr w:type="spellStart"/>
      <w:r w:rsidR="003748DD" w:rsidRPr="00A40CDC">
        <w:rPr>
          <w:b/>
          <w:color w:val="0070C0"/>
        </w:rPr>
        <w:t>l.r</w:t>
      </w:r>
      <w:proofErr w:type="spellEnd"/>
      <w:r w:rsidR="003748DD" w:rsidRPr="00A40CDC">
        <w:rPr>
          <w:b/>
          <w:color w:val="0070C0"/>
        </w:rPr>
        <w:t>. 16/</w:t>
      </w:r>
      <w:r w:rsidR="003748DD" w:rsidRPr="005D7D99">
        <w:rPr>
          <w:b/>
          <w:color w:val="0070C0"/>
        </w:rPr>
        <w:t>2016</w:t>
      </w:r>
      <w:r w:rsidR="00AE6630" w:rsidRPr="005D7D99">
        <w:rPr>
          <w:b/>
          <w:color w:val="0070C0"/>
        </w:rPr>
        <w:t>,</w:t>
      </w:r>
      <w:r w:rsidR="00C0135F" w:rsidRPr="005D7D99">
        <w:rPr>
          <w:b/>
          <w:color w:val="0070C0"/>
        </w:rPr>
        <w:t xml:space="preserve"> </w:t>
      </w:r>
      <w:r w:rsidRPr="005D7D99">
        <w:rPr>
          <w:bCs/>
          <w:strike/>
          <w:color w:val="C00000"/>
        </w:rPr>
        <w:t>Analoga</w:t>
      </w:r>
      <w:r w:rsidRPr="00AE6630">
        <w:rPr>
          <w:bCs/>
          <w:strike/>
          <w:color w:val="C00000"/>
        </w:rPr>
        <w:t xml:space="preserve"> disciplina di incentivazione può essere prevista a</w:t>
      </w:r>
      <w:r w:rsidR="00CA612F" w:rsidRPr="00AE6630">
        <w:rPr>
          <w:bCs/>
          <w:strike/>
          <w:color w:val="C00000"/>
        </w:rPr>
        <w:t>n</w:t>
      </w:r>
      <w:r w:rsidRPr="00AE6630">
        <w:rPr>
          <w:bCs/>
          <w:strike/>
          <w:color w:val="C00000"/>
        </w:rPr>
        <w:t>che</w:t>
      </w:r>
      <w:r w:rsidR="00C12493" w:rsidRPr="00AE6630">
        <w:rPr>
          <w:rStyle w:val="Rimandonotaapidipagina"/>
          <w:bCs/>
          <w:color w:val="C00000"/>
        </w:rPr>
        <w:footnoteReference w:id="4"/>
      </w:r>
      <w:r w:rsidR="00371AD8" w:rsidRPr="00AE6630">
        <w:rPr>
          <w:bCs/>
          <w:color w:val="C00000"/>
        </w:rPr>
        <w:t xml:space="preserve"> </w:t>
      </w:r>
      <w:r w:rsidRPr="00A40CDC">
        <w:rPr>
          <w:bCs/>
        </w:rPr>
        <w:t xml:space="preserve">ai fini del conseguimento del drenaggio urbano sostenibile, per la promozione dell'edilizia bioclimatica e del risparmio energetico, in coerenza con i criteri e gli indirizzi regionali previsti dall'articolo 44, comma 18, nonché ai fini del recupero delle aree degradate o dismesse, di cui all'articolo 1, comma 3-bis, e ai fini della conservazione degli immobili di interesse storico-artistico ai sensi del </w:t>
      </w:r>
      <w:proofErr w:type="spellStart"/>
      <w:r w:rsidRPr="00A40CDC">
        <w:rPr>
          <w:bCs/>
          <w:i/>
          <w:iCs/>
        </w:rPr>
        <w:t>D.Lgs.</w:t>
      </w:r>
      <w:proofErr w:type="spellEnd"/>
      <w:r w:rsidRPr="00A40CDC">
        <w:rPr>
          <w:bCs/>
          <w:i/>
          <w:iCs/>
        </w:rPr>
        <w:t xml:space="preserve"> 42/2004</w:t>
      </w:r>
      <w:r w:rsidRPr="00A40CDC">
        <w:rPr>
          <w:bCs/>
        </w:rPr>
        <w:t xml:space="preserve">. </w:t>
      </w:r>
      <w:r w:rsidRPr="00A40CDC">
        <w:rPr>
          <w:b/>
          <w:color w:val="0070C0"/>
        </w:rPr>
        <w:t xml:space="preserve">In caso di interventi su aree oggetto di bonifica ambientale, si applicano le misure incentivanti di cui all’art. 21bis, comma 2 della </w:t>
      </w:r>
      <w:proofErr w:type="spellStart"/>
      <w:r w:rsidRPr="00A40CDC">
        <w:rPr>
          <w:b/>
          <w:color w:val="0070C0"/>
        </w:rPr>
        <w:t>l.r</w:t>
      </w:r>
      <w:proofErr w:type="spellEnd"/>
      <w:r w:rsidRPr="00A40CDC">
        <w:rPr>
          <w:b/>
          <w:color w:val="0070C0"/>
        </w:rPr>
        <w:t>. 26/2003.</w:t>
      </w:r>
      <w:r w:rsidRPr="00A40CDC">
        <w:rPr>
          <w:b/>
          <w:bCs/>
        </w:rPr>
        <w:t xml:space="preserve"> </w:t>
      </w:r>
    </w:p>
    <w:p w:rsidR="00A40CDC" w:rsidRPr="00A40CDC" w:rsidRDefault="00A40CDC" w:rsidP="00A40CDC">
      <w:pPr>
        <w:spacing w:after="0"/>
        <w:contextualSpacing/>
        <w:jc w:val="both"/>
        <w:rPr>
          <w:b/>
          <w:bCs/>
        </w:rPr>
      </w:pPr>
    </w:p>
    <w:p w:rsidR="00A0555E" w:rsidRPr="00A40CDC" w:rsidRDefault="00A23F46" w:rsidP="00A40CDC">
      <w:pPr>
        <w:spacing w:after="0"/>
        <w:contextualSpacing/>
        <w:jc w:val="both"/>
        <w:rPr>
          <w:bCs/>
        </w:rPr>
      </w:pPr>
      <w:r w:rsidRPr="00A40CDC">
        <w:rPr>
          <w:b/>
          <w:bCs/>
        </w:rPr>
        <w:t xml:space="preserve">Modifica all’art. 97 bis, comma 4 </w:t>
      </w:r>
      <w:r w:rsidRPr="00A40CDC">
        <w:rPr>
          <w:bCs/>
        </w:rPr>
        <w:t>(in raccordo con la modifica dell’art. 11, comma 5)</w:t>
      </w:r>
      <w:r w:rsidRPr="00A40CDC">
        <w:t>:</w:t>
      </w:r>
      <w:r w:rsidRPr="00A40CDC">
        <w:rPr>
          <w:b/>
        </w:rPr>
        <w:t xml:space="preserve"> </w:t>
      </w:r>
      <w:r w:rsidR="00801E29" w:rsidRPr="00A40CDC">
        <w:rPr>
          <w:bCs/>
        </w:rPr>
        <w:t>“</w:t>
      </w:r>
      <w:r w:rsidR="00A0555E" w:rsidRPr="00A40CDC">
        <w:rPr>
          <w:bCs/>
        </w:rPr>
        <w:t xml:space="preserve">Il comune, </w:t>
      </w:r>
      <w:r w:rsidR="00A0555E" w:rsidRPr="00A40CDC">
        <w:rPr>
          <w:b/>
          <w:color w:val="0070C0"/>
        </w:rPr>
        <w:t>fatta salva l’applicabilità delle misure incentivanti di cui all’art. 21</w:t>
      </w:r>
      <w:r w:rsidR="0036673C" w:rsidRPr="00A40CDC">
        <w:rPr>
          <w:b/>
          <w:color w:val="0070C0"/>
        </w:rPr>
        <w:t xml:space="preserve"> </w:t>
      </w:r>
      <w:r w:rsidR="00A0555E" w:rsidRPr="00A40CDC">
        <w:rPr>
          <w:b/>
          <w:color w:val="0070C0"/>
        </w:rPr>
        <w:t xml:space="preserve">bis, comma 2 della </w:t>
      </w:r>
      <w:proofErr w:type="spellStart"/>
      <w:r w:rsidR="00A0555E" w:rsidRPr="00A40CDC">
        <w:rPr>
          <w:b/>
          <w:color w:val="0070C0"/>
        </w:rPr>
        <w:t>l.r</w:t>
      </w:r>
      <w:proofErr w:type="spellEnd"/>
      <w:r w:rsidR="00A0555E" w:rsidRPr="00A40CDC">
        <w:rPr>
          <w:b/>
          <w:color w:val="0070C0"/>
        </w:rPr>
        <w:t>. 26/2003 in caso di interventi su aree non residenziali dismesse oggetto di bonifica ambientale,</w:t>
      </w:r>
      <w:r w:rsidR="00A0555E" w:rsidRPr="00A40CDC">
        <w:rPr>
          <w:bCs/>
        </w:rPr>
        <w:t xml:space="preserve"> in seguito all'approvazione del PGT, accertata la sussistenza delle condizioni di cui ai commi 2 e 3, può invitare la proprietà dell'area a presentare una proposta di riutilizzo della stessa in attuazione delle previsioni del PGT, con possibilità di incrementare fino al 20 per cento la volumetria o la superficie ammessa, assegnando un termine da definirsi in ragione della complessità della situazione riscontrata e comunque non inferiore a mesi quattro e non superiore a mesi dodici</w:t>
      </w:r>
      <w:r w:rsidRPr="00A40CDC">
        <w:rPr>
          <w:bCs/>
        </w:rPr>
        <w:t>”</w:t>
      </w:r>
      <w:r w:rsidR="00A0555E" w:rsidRPr="00A40CDC">
        <w:rPr>
          <w:bCs/>
        </w:rPr>
        <w:t>.</w:t>
      </w:r>
    </w:p>
    <w:p w:rsidR="00165574" w:rsidRPr="00A40CDC" w:rsidRDefault="00165574" w:rsidP="00A40CDC">
      <w:pPr>
        <w:contextualSpacing/>
        <w:jc w:val="both"/>
      </w:pPr>
    </w:p>
    <w:p w:rsidR="00A0555E" w:rsidRPr="00A40CDC" w:rsidRDefault="00A0555E" w:rsidP="00A40CDC">
      <w:pPr>
        <w:spacing w:after="0"/>
        <w:contextualSpacing/>
        <w:jc w:val="both"/>
      </w:pPr>
      <w:r w:rsidRPr="00A40CDC">
        <w:rPr>
          <w:b/>
        </w:rPr>
        <w:lastRenderedPageBreak/>
        <w:t>Modifica all’art.</w:t>
      </w:r>
      <w:r w:rsidRPr="00A40CDC">
        <w:t xml:space="preserve"> </w:t>
      </w:r>
      <w:r w:rsidRPr="00A40CDC">
        <w:rPr>
          <w:b/>
        </w:rPr>
        <w:t>12 comma 4</w:t>
      </w:r>
      <w:r w:rsidRPr="00A40CDC">
        <w:t>: “Per la presentazione del piano attuativo è sufficiente il concorso dei proprietari degli immobili interessati rappresentanti la maggioranza assoluta del valore di detti immobili in base all’imponibile catastale risultante al momento della presentazione del piano, costituiti in consorzio ai sensi dell’</w:t>
      </w:r>
      <w:hyperlink r:id="rId8" w:anchor="27" w:history="1">
        <w:r w:rsidRPr="00A40CDC">
          <w:t>articolo 27, comma 5, della legge 1 agosto 2002, n. 166</w:t>
        </w:r>
      </w:hyperlink>
      <w:r w:rsidRPr="00A40CDC">
        <w:t xml:space="preserve"> (Disposizioni in materia di infrastrutture e trasporti). In tal caso, il sindaco provvede, entro dieci giorni dalla presentazione del piano attuativo, ad attivare la procedura di cui all’</w:t>
      </w:r>
      <w:hyperlink r:id="rId9" w:anchor="27" w:history="1">
        <w:r w:rsidRPr="00A40CDC">
          <w:t>articolo 27, comma 5, della legge n. 166 del 2002</w:t>
        </w:r>
      </w:hyperlink>
      <w:r w:rsidRPr="00A40CDC">
        <w:t xml:space="preserve"> </w:t>
      </w:r>
      <w:r w:rsidRPr="00A40CDC">
        <w:rPr>
          <w:b/>
          <w:color w:val="0070C0"/>
        </w:rPr>
        <w:t>e il termine di novanta giorni di cui all’articolo 27 comma 5 della legge n. 166 del 2002 inizia a decorrere a far tempo da</w:t>
      </w:r>
      <w:r w:rsidR="003748DD" w:rsidRPr="00A40CDC">
        <w:rPr>
          <w:b/>
          <w:color w:val="0070C0"/>
        </w:rPr>
        <w:t>ll’adozione del piano attuativo.</w:t>
      </w:r>
    </w:p>
    <w:p w:rsidR="00FD58C9" w:rsidRPr="00A40CDC" w:rsidRDefault="00FD58C9" w:rsidP="00A40CDC">
      <w:pPr>
        <w:spacing w:after="0"/>
        <w:contextualSpacing/>
        <w:jc w:val="both"/>
        <w:rPr>
          <w:b/>
        </w:rPr>
      </w:pPr>
    </w:p>
    <w:p w:rsidR="00D72084" w:rsidRPr="00A40CDC" w:rsidRDefault="00D72084" w:rsidP="00A40CDC">
      <w:pPr>
        <w:spacing w:after="0"/>
        <w:contextualSpacing/>
        <w:jc w:val="both"/>
        <w:rPr>
          <w:b/>
        </w:rPr>
      </w:pPr>
      <w:r w:rsidRPr="00A40CDC">
        <w:rPr>
          <w:b/>
        </w:rPr>
        <w:t>L’art. 44, commi 4 e 9 vengono modificati come segue:</w:t>
      </w:r>
    </w:p>
    <w:p w:rsidR="00D72084" w:rsidRPr="00A40CDC" w:rsidRDefault="00D72084" w:rsidP="00A40CDC">
      <w:pPr>
        <w:spacing w:after="0"/>
        <w:contextualSpacing/>
        <w:jc w:val="both"/>
        <w:rPr>
          <w:b/>
          <w:color w:val="0070C0"/>
        </w:rPr>
      </w:pPr>
      <w:proofErr w:type="gramStart"/>
      <w:r w:rsidRPr="00A40CDC">
        <w:rPr>
          <w:b/>
        </w:rPr>
        <w:t>comma</w:t>
      </w:r>
      <w:proofErr w:type="gramEnd"/>
      <w:r w:rsidRPr="00A40CDC">
        <w:rPr>
          <w:b/>
        </w:rPr>
        <w:t xml:space="preserve"> 4: “</w:t>
      </w:r>
      <w:r w:rsidRPr="00A40CDC">
        <w:t>Gli oneri di urbanizzazione secondaria sono relativi alle seguenti opere: asili nido e scuole materne, scuole dell’obbligo e strutture e complessi per l’istruzione superiore all’obbligo, mercati di quartiere, presidi per la sicurezza pubblica, delegazioni comunali, chiese e altri edifici religiosi, impianti sportivi di quartiere, aree verdi di quartiere, centri sociali e attrezzature culturali e sanitarie, cimiteri</w:t>
      </w:r>
      <w:r w:rsidRPr="00A40CDC">
        <w:rPr>
          <w:b/>
        </w:rPr>
        <w:t xml:space="preserve">. </w:t>
      </w:r>
      <w:r w:rsidRPr="00A40CDC">
        <w:rPr>
          <w:b/>
          <w:color w:val="0070C0"/>
        </w:rPr>
        <w:t>Nelle attrezzature sanitarie sono ricomprese le opere, le costruzioni e gli impianti destinati allo smaltimento, al riciclaggio o alla distruzione dei rifiuti urbani, speciali, pericolosi, solidi e liquidi, alla bonifica di aree inquinate.”</w:t>
      </w:r>
    </w:p>
    <w:p w:rsidR="00FD58C9" w:rsidRPr="00A40CDC" w:rsidRDefault="00FD58C9" w:rsidP="00A40CDC">
      <w:pPr>
        <w:spacing w:after="0"/>
        <w:contextualSpacing/>
        <w:jc w:val="both"/>
        <w:rPr>
          <w:b/>
        </w:rPr>
      </w:pPr>
    </w:p>
    <w:p w:rsidR="00504E63" w:rsidRPr="00A40CDC" w:rsidRDefault="00D72084" w:rsidP="00A40CDC">
      <w:pPr>
        <w:contextualSpacing/>
        <w:jc w:val="both"/>
      </w:pPr>
      <w:proofErr w:type="gramStart"/>
      <w:r w:rsidRPr="00A40CDC">
        <w:rPr>
          <w:b/>
        </w:rPr>
        <w:t>comma</w:t>
      </w:r>
      <w:proofErr w:type="gramEnd"/>
      <w:r w:rsidRPr="00A40CDC">
        <w:rPr>
          <w:b/>
        </w:rPr>
        <w:t xml:space="preserve"> 9:</w:t>
      </w:r>
      <w:r w:rsidR="00504E63" w:rsidRPr="00A40CDC">
        <w:t xml:space="preserve"> </w:t>
      </w:r>
      <w:r w:rsidR="00504E63" w:rsidRPr="00A40CDC">
        <w:rPr>
          <w:b/>
          <w:color w:val="0070C0"/>
        </w:rPr>
        <w:t>“Per tutti gli interventi di ristrutturazione edilizia, gli oneri di urbanizzazione, se dovuti, sono riferiti alla volumetria o alla superficie interessate dall’intervento, secondo che si tratti rispettivamente di edifici a destinazione residenziale o diversa dalla residenza; gli oneri di urbanizzazione sono quelli stabiliti per gli interventi di nuova costruzione, ridotti del sessanta percento, salva la facoltà per i comuni di deliberare ulteriori riduzioni”</w:t>
      </w:r>
      <w:r w:rsidR="00504E63" w:rsidRPr="00A40CDC">
        <w:t>.</w:t>
      </w:r>
      <w:r w:rsidR="00316547" w:rsidRPr="00A40CDC">
        <w:t xml:space="preserve"> (Vigente comma 9. Nei casi di cui al comma 8, il soggetto che promuove l'intervento può chiedere che gli oneri di urbanizzazione siano riferiti alla volumetria reale o alla superficie reale interessate dall'intervento, secondo che si tratti rispettivamente di edifici a destinazione residenziale o diversa dalla residenza; in tal caso non è prescritta la presentazione del computo metrico di cui al comma 8.)</w:t>
      </w:r>
    </w:p>
    <w:p w:rsidR="00EA6506" w:rsidRDefault="00EA6506" w:rsidP="00A40CDC">
      <w:pPr>
        <w:contextualSpacing/>
        <w:jc w:val="both"/>
        <w:rPr>
          <w:b/>
        </w:rPr>
      </w:pPr>
    </w:p>
    <w:p w:rsidR="00A0555E" w:rsidRPr="00A40CDC" w:rsidRDefault="00892A52" w:rsidP="00A40CDC">
      <w:pPr>
        <w:contextualSpacing/>
        <w:jc w:val="both"/>
      </w:pPr>
      <w:r w:rsidRPr="00A40CDC">
        <w:rPr>
          <w:b/>
        </w:rPr>
        <w:t>Modifica all’art.</w:t>
      </w:r>
      <w:r w:rsidRPr="00A40CDC">
        <w:t xml:space="preserve"> </w:t>
      </w:r>
      <w:r w:rsidRPr="00A40CDC">
        <w:rPr>
          <w:b/>
        </w:rPr>
        <w:t>103 comma 1 bis</w:t>
      </w:r>
      <w:r w:rsidR="00A0555E" w:rsidRPr="00A40CDC">
        <w:rPr>
          <w:b/>
        </w:rPr>
        <w:t>:</w:t>
      </w:r>
      <w:r w:rsidR="00A0555E" w:rsidRPr="00A40CDC">
        <w:t xml:space="preserve"> “Ai fini dell’adeguamento, ai sensi dell’</w:t>
      </w:r>
      <w:hyperlink r:id="rId10" w:anchor="026" w:history="1">
        <w:r w:rsidR="00A0555E" w:rsidRPr="00A40CDC">
          <w:t>articolo 26, commi 2 e 3</w:t>
        </w:r>
      </w:hyperlink>
      <w:r w:rsidR="00A0555E" w:rsidRPr="00A40CDC">
        <w:t xml:space="preserve">, degli strumenti urbanistici vigenti, non si applicano le disposizioni del </w:t>
      </w:r>
      <w:hyperlink r:id="rId11" w:history="1">
        <w:r w:rsidR="00A0555E" w:rsidRPr="00A40CDC">
          <w:t>decreto ministeriale 2 aprile 1968, n. 1444</w:t>
        </w:r>
      </w:hyperlink>
      <w:r w:rsidR="00A0555E" w:rsidRPr="00A40CDC">
        <w:t xml:space="preserve"> (Limiti inderogabili di densità edilizia, di altezza, di distanza fra i fabbricati e rapporti massimi tra spazi destinati agli insediamenti residenziali e produttivi e spazi pubblici o riservati alle attività collettive, al verde pubblico o a parcheggi da osservare ai fini della formazione dei nuovi strumenti urbanistici o della revisione di quelli esistenti, ai sensi dell’articolo 17 della legge 6 agosto 1967, n. 765), fatto salvo, limitatamente agli interventi di nuova costruzione, il rispetto della distanza minima tra fabbricati pari a dieci metri, derogabile all’interno di piani attuativi </w:t>
      </w:r>
      <w:r w:rsidR="00A0555E" w:rsidRPr="00A40CDC">
        <w:rPr>
          <w:b/>
          <w:color w:val="0070C0"/>
        </w:rPr>
        <w:t>e in ambiti oggetto di pianificazione unitaria con previsioni planivolumetriche comunque autorizzate</w:t>
      </w:r>
      <w:r w:rsidR="00A0555E" w:rsidRPr="00A40CDC">
        <w:rPr>
          <w:color w:val="00B0F0"/>
        </w:rPr>
        <w:t>.</w:t>
      </w:r>
      <w:r w:rsidR="00A0555E" w:rsidRPr="00A40CDC">
        <w:t>”</w:t>
      </w:r>
    </w:p>
    <w:p w:rsidR="00EA6506" w:rsidRDefault="00EA6506" w:rsidP="00A40CDC">
      <w:pPr>
        <w:contextualSpacing/>
        <w:jc w:val="both"/>
        <w:rPr>
          <w:b/>
        </w:rPr>
      </w:pPr>
    </w:p>
    <w:p w:rsidR="00A0555E" w:rsidRPr="00A40CDC" w:rsidRDefault="00A0555E" w:rsidP="00A40CDC">
      <w:pPr>
        <w:contextualSpacing/>
        <w:jc w:val="both"/>
      </w:pPr>
      <w:r w:rsidRPr="00A40CDC">
        <w:rPr>
          <w:b/>
        </w:rPr>
        <w:t>Modifica all’art. 103 comma 1</w:t>
      </w:r>
      <w:r w:rsidRPr="00A40CDC">
        <w:t xml:space="preserve">, eliminando la disapplicazione dell’art. 14 comma 1 bis del </w:t>
      </w:r>
      <w:proofErr w:type="spellStart"/>
      <w:r w:rsidRPr="00A40CDC">
        <w:t>d.p.r.</w:t>
      </w:r>
      <w:proofErr w:type="spellEnd"/>
      <w:r w:rsidRPr="00A40CDC">
        <w:t xml:space="preserve"> 380/01.</w:t>
      </w:r>
    </w:p>
    <w:p w:rsidR="00892A52" w:rsidRPr="00A40CDC" w:rsidRDefault="00892A52" w:rsidP="00A40CDC">
      <w:pPr>
        <w:spacing w:after="0"/>
        <w:contextualSpacing/>
        <w:rPr>
          <w:b/>
          <w:bCs/>
        </w:rPr>
      </w:pPr>
    </w:p>
    <w:p w:rsidR="00892A52" w:rsidRPr="00A40CDC" w:rsidRDefault="00892A52" w:rsidP="00A40CDC">
      <w:pPr>
        <w:spacing w:after="0"/>
        <w:contextualSpacing/>
        <w:rPr>
          <w:b/>
          <w:bCs/>
        </w:rPr>
      </w:pPr>
      <w:r w:rsidRPr="00A40CDC">
        <w:rPr>
          <w:b/>
          <w:bCs/>
        </w:rPr>
        <w:t xml:space="preserve">Art. xx </w:t>
      </w:r>
      <w:r w:rsidR="00EA6506">
        <w:rPr>
          <w:b/>
          <w:bCs/>
        </w:rPr>
        <w:t>- U</w:t>
      </w:r>
      <w:r w:rsidRPr="00A40CDC">
        <w:rPr>
          <w:b/>
          <w:bCs/>
        </w:rPr>
        <w:t xml:space="preserve">si temporanei </w:t>
      </w:r>
    </w:p>
    <w:p w:rsidR="00892A52" w:rsidRPr="00A40CDC" w:rsidRDefault="00892A52" w:rsidP="00A40CDC">
      <w:pPr>
        <w:spacing w:after="0"/>
        <w:contextualSpacing/>
        <w:rPr>
          <w:bCs/>
        </w:rPr>
      </w:pPr>
      <w:r w:rsidRPr="00A40CDC">
        <w:rPr>
          <w:bCs/>
        </w:rPr>
        <w:t xml:space="preserve">(Valutare collocazione nell’articolato della </w:t>
      </w:r>
      <w:proofErr w:type="spellStart"/>
      <w:r w:rsidRPr="00A40CDC">
        <w:rPr>
          <w:bCs/>
        </w:rPr>
        <w:t>l.r</w:t>
      </w:r>
      <w:proofErr w:type="spellEnd"/>
      <w:r w:rsidRPr="00A40CDC">
        <w:rPr>
          <w:bCs/>
        </w:rPr>
        <w:t>. 12/05)</w:t>
      </w:r>
    </w:p>
    <w:p w:rsidR="00892A52" w:rsidRPr="00A40CDC" w:rsidRDefault="00892A52" w:rsidP="00A40CDC">
      <w:pPr>
        <w:spacing w:after="0"/>
        <w:contextualSpacing/>
        <w:rPr>
          <w:b/>
          <w:bCs/>
        </w:rPr>
      </w:pPr>
    </w:p>
    <w:p w:rsidR="002F2C83" w:rsidRPr="005D06FB" w:rsidRDefault="002F2C83" w:rsidP="002F2C83">
      <w:pPr>
        <w:jc w:val="both"/>
      </w:pPr>
      <w:r w:rsidRPr="005D06FB">
        <w:lastRenderedPageBreak/>
        <w:t>Allo scopo di attivare processi di recupero e valorizzazione di edifici dismessi, inutilizzati o sottoutilizzati, e favorire lo sviluppo di iniziative economiche, sociali e culturali, il Comune può consentire, previa stipula di apposita convenzione, l’utilizzazione temporanea di tali edifici, o parti di essi, anche per usi diversi da quelli assentiti dallo strumento urbanistico.</w:t>
      </w:r>
    </w:p>
    <w:p w:rsidR="002F2C83" w:rsidRPr="00A378A0" w:rsidRDefault="002F2C83" w:rsidP="002F2C83">
      <w:pPr>
        <w:jc w:val="both"/>
      </w:pPr>
      <w:r w:rsidRPr="00A378A0">
        <w:t>L’uso temporaneo può riguardare sia edifici pubblici, concessi in comodato per la realizzazione di iniziative di rilevante interesse pubblico, che immobili privati.</w:t>
      </w:r>
    </w:p>
    <w:p w:rsidR="002F2C83" w:rsidRPr="00A378A0" w:rsidRDefault="002F2C83" w:rsidP="002F2C83">
      <w:pPr>
        <w:jc w:val="both"/>
      </w:pPr>
      <w:bookmarkStart w:id="1" w:name="_gjdgxs" w:colFirst="0" w:colLast="0"/>
      <w:bookmarkEnd w:id="1"/>
      <w:r w:rsidRPr="00A378A0">
        <w:t>L’uso temporaneo è consentito, previo rispetto dei requisiti igienico sanitari, ambientali e di sicurezza, per una sola volta e per un periodo di tempo non superiore a tre anni, prorogabili di altri due.</w:t>
      </w:r>
    </w:p>
    <w:p w:rsidR="002F2C83" w:rsidRPr="005D06FB" w:rsidRDefault="002F2C83" w:rsidP="002F2C83">
      <w:pPr>
        <w:jc w:val="both"/>
      </w:pPr>
      <w:r w:rsidRPr="005D06FB">
        <w:t>Qualora connesso ad opere edilizie, esse sono assentite mediante titolo abilitativo edilizio rilasciato nel rispetto delle norme e dello strumento urbanistico vigente.</w:t>
      </w:r>
    </w:p>
    <w:p w:rsidR="002F2C83" w:rsidRDefault="002F2C83" w:rsidP="002F2C83">
      <w:pPr>
        <w:jc w:val="both"/>
      </w:pPr>
      <w:r w:rsidRPr="005D06FB">
        <w:t xml:space="preserve">L’uso temporaneo non comporta corresponsione di aree per servizi, non comporta il mutamento di destinazione d’uso delle unità immobiliari e non è soggetto alle disposizioni dell’art. 51 della </w:t>
      </w:r>
      <w:proofErr w:type="spellStart"/>
      <w:r w:rsidRPr="005D06FB">
        <w:t>l.r</w:t>
      </w:r>
      <w:proofErr w:type="spellEnd"/>
      <w:r w:rsidRPr="005D06FB">
        <w:t>. 12/2005. Il comune nella convenzione può comunque definire le opere di urbanizzazione minime necessarie e funzionali all’uso temporaneo proposto.</w:t>
      </w:r>
    </w:p>
    <w:p w:rsidR="002F2C83" w:rsidRDefault="002F2C83" w:rsidP="00ED7CEC">
      <w:pPr>
        <w:spacing w:after="160" w:line="259" w:lineRule="auto"/>
        <w:jc w:val="both"/>
        <w:rPr>
          <w:b/>
          <w:u w:val="single"/>
        </w:rPr>
      </w:pPr>
      <w:r w:rsidRPr="00771DF5">
        <w:t xml:space="preserve">Per tali previsioni sono fatte salve le indicazioni di legge previste per gli immobili e gli ambiti assoggettati a tutela ai sensi degli artt. 136 e 142 del </w:t>
      </w:r>
      <w:proofErr w:type="spellStart"/>
      <w:r w:rsidRPr="00771DF5">
        <w:t>D.Lgs.</w:t>
      </w:r>
      <w:proofErr w:type="spellEnd"/>
      <w:r w:rsidRPr="00771DF5">
        <w:t xml:space="preserve"> 42/04 e per gli immobili di valore monumentale.</w:t>
      </w:r>
    </w:p>
    <w:p w:rsidR="002F2C83" w:rsidRPr="00A40CDC" w:rsidRDefault="002F2C83" w:rsidP="00A40CDC">
      <w:pPr>
        <w:contextualSpacing/>
        <w:rPr>
          <w:b/>
          <w:u w:val="single"/>
        </w:rPr>
      </w:pPr>
    </w:p>
    <w:p w:rsidR="00CF4B0A" w:rsidRPr="00D407C0" w:rsidRDefault="006C7654" w:rsidP="002F2C83">
      <w:pPr>
        <w:contextualSpacing/>
        <w:jc w:val="center"/>
        <w:rPr>
          <w:b/>
          <w:bCs/>
          <w:u w:val="single"/>
        </w:rPr>
      </w:pPr>
      <w:r>
        <w:rPr>
          <w:b/>
          <w:u w:val="single"/>
        </w:rPr>
        <w:t>Ulteriori aspetti</w:t>
      </w:r>
      <w:r w:rsidR="00A0555E" w:rsidRPr="00D407C0">
        <w:rPr>
          <w:b/>
          <w:bCs/>
          <w:u w:val="single"/>
        </w:rPr>
        <w:t xml:space="preserve"> da sviluppare</w:t>
      </w:r>
    </w:p>
    <w:p w:rsidR="002F2C83" w:rsidRPr="002F2C83" w:rsidRDefault="002F2C83" w:rsidP="002F2C83">
      <w:pPr>
        <w:contextualSpacing/>
        <w:jc w:val="center"/>
        <w:rPr>
          <w:b/>
          <w:bCs/>
        </w:rPr>
      </w:pPr>
    </w:p>
    <w:p w:rsidR="00A0555E" w:rsidRDefault="00A0555E" w:rsidP="00A40CDC">
      <w:pPr>
        <w:contextualSpacing/>
        <w:jc w:val="both"/>
      </w:pPr>
      <w:r w:rsidRPr="00A40CDC">
        <w:t xml:space="preserve">Introdurre </w:t>
      </w:r>
      <w:proofErr w:type="spellStart"/>
      <w:r w:rsidRPr="00A40CDC">
        <w:t>premialità</w:t>
      </w:r>
      <w:proofErr w:type="spellEnd"/>
      <w:r w:rsidRPr="00A40CDC">
        <w:t xml:space="preserve"> volumetriche rispetto a quelle previste dal PGT al fine di incentivare gli interventi di miglioramento sismico, la riduzione di superficie di suolo coperta</w:t>
      </w:r>
      <w:r w:rsidR="00910B77" w:rsidRPr="00A40CDC">
        <w:t xml:space="preserve"> e impermeabilizzata </w:t>
      </w:r>
      <w:r w:rsidRPr="00A40CDC">
        <w:t>e il ricorso a procedure concorsuali per la redazione di piani e progetti architettonici.</w:t>
      </w:r>
      <w:r w:rsidR="000E3DEF" w:rsidRPr="00A40CDC">
        <w:t xml:space="preserve"> </w:t>
      </w:r>
      <w:r w:rsidR="00D72084" w:rsidRPr="00A40CDC">
        <w:t>Tali m</w:t>
      </w:r>
      <w:r w:rsidR="000E3DEF" w:rsidRPr="00A40CDC">
        <w:t xml:space="preserve">isure </w:t>
      </w:r>
      <w:r w:rsidR="00D72084" w:rsidRPr="00A40CDC">
        <w:t>sono da considerarsi come “</w:t>
      </w:r>
      <w:r w:rsidR="000E3DEF" w:rsidRPr="00A40CDC">
        <w:t>ulteriori</w:t>
      </w:r>
      <w:r w:rsidR="00D72084" w:rsidRPr="00A40CDC">
        <w:t>”</w:t>
      </w:r>
      <w:r w:rsidR="000E3DEF" w:rsidRPr="00A40CDC">
        <w:t xml:space="preserve"> rispetto a</w:t>
      </w:r>
      <w:r w:rsidR="00D72084" w:rsidRPr="00A40CDC">
        <w:t xml:space="preserve"> quelle definite dall’</w:t>
      </w:r>
      <w:r w:rsidR="000E3DEF" w:rsidRPr="00A40CDC">
        <w:t>art. 11 e in deroga al PGT.</w:t>
      </w:r>
    </w:p>
    <w:p w:rsidR="002F2C83" w:rsidRPr="00A40CDC" w:rsidRDefault="002F2C83" w:rsidP="00A40CDC">
      <w:pPr>
        <w:contextualSpacing/>
        <w:jc w:val="both"/>
        <w:rPr>
          <w:color w:val="FF0000"/>
        </w:rPr>
      </w:pPr>
    </w:p>
    <w:p w:rsidR="00A0555E" w:rsidRDefault="00A0555E" w:rsidP="00A40CDC">
      <w:pPr>
        <w:contextualSpacing/>
        <w:jc w:val="both"/>
      </w:pPr>
      <w:r w:rsidRPr="00A40CDC">
        <w:t xml:space="preserve">In caso di demolizione di edifici sono fatti salvi i diritti volumetrici precedentemente assentiti dallo strumento urbanistico, anche qualora la demolizione non sia contestuale alla nuova costruzione. </w:t>
      </w:r>
    </w:p>
    <w:p w:rsidR="002F2C83" w:rsidRPr="00A40CDC" w:rsidRDefault="002F2C83" w:rsidP="00A40CDC">
      <w:pPr>
        <w:contextualSpacing/>
        <w:jc w:val="both"/>
      </w:pPr>
    </w:p>
    <w:p w:rsidR="00E760BB" w:rsidRPr="005D7D99" w:rsidRDefault="00E760BB" w:rsidP="00E760BB">
      <w:pPr>
        <w:jc w:val="both"/>
      </w:pPr>
      <w:r w:rsidRPr="005D7D99">
        <w:t xml:space="preserve">Provvedere ad una ricognizione delle varie </w:t>
      </w:r>
      <w:r w:rsidR="005D7D99" w:rsidRPr="005D7D99">
        <w:t>disposizioni</w:t>
      </w:r>
      <w:r w:rsidRPr="005D7D99">
        <w:t xml:space="preserve"> legate alla rigenerazione già contenute nella </w:t>
      </w:r>
      <w:proofErr w:type="spellStart"/>
      <w:r w:rsidRPr="005D7D99">
        <w:t>l.r</w:t>
      </w:r>
      <w:proofErr w:type="spellEnd"/>
      <w:r w:rsidRPr="005D7D99">
        <w:t>. 12/05 e per quanto possibile razionalizzare (vedi segnalazioni ANCI).</w:t>
      </w:r>
    </w:p>
    <w:p w:rsidR="00E760BB" w:rsidRPr="00C12493" w:rsidRDefault="00E760BB" w:rsidP="00E760BB">
      <w:pPr>
        <w:jc w:val="both"/>
      </w:pPr>
      <w:r w:rsidRPr="005D7D99">
        <w:t xml:space="preserve">Sulla base di quanto proposto in sede di revisione generale della </w:t>
      </w:r>
      <w:proofErr w:type="spellStart"/>
      <w:r w:rsidRPr="005D7D99">
        <w:t>l.r</w:t>
      </w:r>
      <w:proofErr w:type="spellEnd"/>
      <w:r w:rsidRPr="005D7D99">
        <w:t>. 12/05, valutare l’opportunità/possibilità di prevedere una</w:t>
      </w:r>
      <w:r w:rsidR="005D7D99" w:rsidRPr="005D7D99">
        <w:t xml:space="preserve"> procedura di</w:t>
      </w:r>
      <w:r w:rsidRPr="005D7D99">
        <w:t xml:space="preserve"> variante semplificata </w:t>
      </w:r>
      <w:r w:rsidR="002C5008" w:rsidRPr="005D7D99">
        <w:t>(nei casi si esclusione dalla VAS, con riduzione del 50% della tempistica a partire dall’adozione) agendo sul vigente art. 13 come modifica del comma 13 o con l’introduzione di un nuovo comma 13bis</w:t>
      </w:r>
      <w:r w:rsidRPr="005D7D99">
        <w:t>.</w:t>
      </w:r>
    </w:p>
    <w:p w:rsidR="00771DF5" w:rsidRPr="00A40CDC" w:rsidRDefault="00771DF5" w:rsidP="00A40CDC">
      <w:pPr>
        <w:ind w:left="708"/>
        <w:contextualSpacing/>
        <w:jc w:val="both"/>
      </w:pPr>
    </w:p>
    <w:sectPr w:rsidR="00771DF5" w:rsidRPr="00A40CDC">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AF4" w:rsidRDefault="004A3AF4" w:rsidP="00D806C4">
      <w:pPr>
        <w:spacing w:after="0" w:line="240" w:lineRule="auto"/>
      </w:pPr>
      <w:r>
        <w:separator/>
      </w:r>
    </w:p>
  </w:endnote>
  <w:endnote w:type="continuationSeparator" w:id="0">
    <w:p w:rsidR="004A3AF4" w:rsidRDefault="004A3AF4" w:rsidP="00D8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488826"/>
      <w:docPartObj>
        <w:docPartGallery w:val="Page Numbers (Bottom of Page)"/>
        <w:docPartUnique/>
      </w:docPartObj>
    </w:sdtPr>
    <w:sdtEndPr/>
    <w:sdtContent>
      <w:p w:rsidR="00D806C4" w:rsidRDefault="00D806C4">
        <w:pPr>
          <w:pStyle w:val="Pidipagina"/>
          <w:jc w:val="right"/>
        </w:pPr>
        <w:r>
          <w:fldChar w:fldCharType="begin"/>
        </w:r>
        <w:r>
          <w:instrText>PAGE   \* MERGEFORMAT</w:instrText>
        </w:r>
        <w:r>
          <w:fldChar w:fldCharType="separate"/>
        </w:r>
        <w:r w:rsidR="005D7D99">
          <w:rPr>
            <w:noProof/>
          </w:rPr>
          <w:t>5</w:t>
        </w:r>
        <w:r>
          <w:fldChar w:fldCharType="end"/>
        </w:r>
      </w:p>
    </w:sdtContent>
  </w:sdt>
  <w:p w:rsidR="00D806C4" w:rsidRDefault="00D806C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AF4" w:rsidRDefault="004A3AF4" w:rsidP="00D806C4">
      <w:pPr>
        <w:spacing w:after="0" w:line="240" w:lineRule="auto"/>
      </w:pPr>
      <w:r>
        <w:separator/>
      </w:r>
    </w:p>
  </w:footnote>
  <w:footnote w:type="continuationSeparator" w:id="0">
    <w:p w:rsidR="004A3AF4" w:rsidRDefault="004A3AF4" w:rsidP="00D806C4">
      <w:pPr>
        <w:spacing w:after="0" w:line="240" w:lineRule="auto"/>
      </w:pPr>
      <w:r>
        <w:continuationSeparator/>
      </w:r>
    </w:p>
  </w:footnote>
  <w:footnote w:id="1">
    <w:p w:rsidR="006D309C" w:rsidRDefault="006D309C">
      <w:pPr>
        <w:pStyle w:val="Testonotaapidipagina"/>
      </w:pPr>
      <w:r>
        <w:rPr>
          <w:rStyle w:val="Rimandonotaapidipagina"/>
        </w:rPr>
        <w:footnoteRef/>
      </w:r>
      <w:r>
        <w:t xml:space="preserve"> Parziale recupero della definizione di rigenerazione urbana definita dalla LR 31/14</w:t>
      </w:r>
    </w:p>
  </w:footnote>
  <w:footnote w:id="2">
    <w:p w:rsidR="00997192" w:rsidRPr="004D3174" w:rsidRDefault="00997192">
      <w:pPr>
        <w:pStyle w:val="Testonotaapidipagina"/>
        <w:rPr>
          <w:sz w:val="20"/>
          <w:szCs w:val="20"/>
        </w:rPr>
      </w:pPr>
      <w:r w:rsidRPr="004D3174">
        <w:rPr>
          <w:rStyle w:val="Rimandonotaapidipagina"/>
          <w:sz w:val="20"/>
          <w:szCs w:val="20"/>
        </w:rPr>
        <w:footnoteRef/>
      </w:r>
      <w:r w:rsidRPr="004D3174">
        <w:rPr>
          <w:sz w:val="20"/>
          <w:szCs w:val="20"/>
        </w:rPr>
        <w:t xml:space="preserve"> Definizione </w:t>
      </w:r>
      <w:r w:rsidR="00E760BB" w:rsidRPr="004D3174">
        <w:rPr>
          <w:sz w:val="20"/>
          <w:szCs w:val="20"/>
        </w:rPr>
        <w:t xml:space="preserve">parzialmente </w:t>
      </w:r>
      <w:r w:rsidRPr="004D3174">
        <w:rPr>
          <w:sz w:val="20"/>
          <w:szCs w:val="20"/>
        </w:rPr>
        <w:t>difforme dal</w:t>
      </w:r>
      <w:r w:rsidR="00E760BB" w:rsidRPr="004D3174">
        <w:rPr>
          <w:sz w:val="20"/>
          <w:szCs w:val="20"/>
        </w:rPr>
        <w:t xml:space="preserve"> contenuto</w:t>
      </w:r>
      <w:r w:rsidRPr="004D3174">
        <w:rPr>
          <w:sz w:val="20"/>
          <w:szCs w:val="20"/>
        </w:rPr>
        <w:t xml:space="preserve"> d</w:t>
      </w:r>
      <w:r w:rsidR="00E760BB" w:rsidRPr="004D3174">
        <w:rPr>
          <w:sz w:val="20"/>
          <w:szCs w:val="20"/>
        </w:rPr>
        <w:t>ell</w:t>
      </w:r>
      <w:r w:rsidRPr="004D3174">
        <w:rPr>
          <w:sz w:val="20"/>
          <w:szCs w:val="20"/>
        </w:rPr>
        <w:t>’art. 4, comma 1 della l.r. 31/14. Valutare modifica</w:t>
      </w:r>
    </w:p>
  </w:footnote>
  <w:footnote w:id="3">
    <w:p w:rsidR="000F4E52" w:rsidRPr="004D3174" w:rsidRDefault="000F4E52">
      <w:pPr>
        <w:pStyle w:val="Testonotaapidipagina"/>
        <w:rPr>
          <w:sz w:val="20"/>
          <w:szCs w:val="20"/>
        </w:rPr>
      </w:pPr>
      <w:r w:rsidRPr="004D3174">
        <w:rPr>
          <w:rStyle w:val="Rimandonotaapidipagina"/>
          <w:sz w:val="20"/>
          <w:szCs w:val="20"/>
        </w:rPr>
        <w:footnoteRef/>
      </w:r>
      <w:r w:rsidRPr="004D3174">
        <w:rPr>
          <w:sz w:val="20"/>
          <w:szCs w:val="20"/>
        </w:rPr>
        <w:t xml:space="preserve"> L’art. 8 comma 2e</w:t>
      </w:r>
      <w:r w:rsidR="00F037B1" w:rsidRPr="005D7D99">
        <w:rPr>
          <w:sz w:val="20"/>
          <w:szCs w:val="20"/>
        </w:rPr>
        <w:t xml:space="preserve"> quinquies</w:t>
      </w:r>
      <w:r w:rsidRPr="005D7D99">
        <w:rPr>
          <w:sz w:val="20"/>
          <w:szCs w:val="20"/>
        </w:rPr>
        <w:t xml:space="preserve"> della vigente legge 12 prevede già che per gli </w:t>
      </w:r>
      <w:r w:rsidR="004D3174" w:rsidRPr="005D7D99">
        <w:rPr>
          <w:sz w:val="20"/>
          <w:szCs w:val="20"/>
        </w:rPr>
        <w:t>ambiti di rigenerazione</w:t>
      </w:r>
      <w:r w:rsidR="004D3174" w:rsidRPr="004D3174">
        <w:rPr>
          <w:sz w:val="20"/>
          <w:szCs w:val="20"/>
        </w:rPr>
        <w:t xml:space="preserve"> </w:t>
      </w:r>
      <w:r w:rsidRPr="004D3174">
        <w:rPr>
          <w:sz w:val="20"/>
          <w:szCs w:val="20"/>
        </w:rPr>
        <w:t>vengano definite specifiche modalità di intervento e adeguate misure di incentivazione.</w:t>
      </w:r>
    </w:p>
  </w:footnote>
  <w:footnote w:id="4">
    <w:p w:rsidR="00C12493" w:rsidRPr="004D3174" w:rsidRDefault="00C12493" w:rsidP="00C12493">
      <w:pPr>
        <w:pStyle w:val="Testonotaapidipagina"/>
        <w:rPr>
          <w:sz w:val="20"/>
          <w:szCs w:val="20"/>
        </w:rPr>
      </w:pPr>
      <w:r w:rsidRPr="004D3174">
        <w:rPr>
          <w:rStyle w:val="Rimandonotaapidipagina"/>
          <w:color w:val="C00000"/>
          <w:sz w:val="20"/>
          <w:szCs w:val="20"/>
        </w:rPr>
        <w:footnoteRef/>
      </w:r>
      <w:r w:rsidRPr="004D3174">
        <w:rPr>
          <w:color w:val="C00000"/>
          <w:sz w:val="20"/>
          <w:szCs w:val="20"/>
        </w:rPr>
        <w:t xml:space="preserve"> </w:t>
      </w:r>
      <w:r w:rsidRPr="004D3174">
        <w:rPr>
          <w:sz w:val="20"/>
          <w:szCs w:val="20"/>
        </w:rPr>
        <w:t xml:space="preserve">La frase “Analoga disciplina di incentivazione può essere prevista anche” </w:t>
      </w:r>
      <w:r w:rsidRPr="00D16C57">
        <w:rPr>
          <w:sz w:val="20"/>
          <w:szCs w:val="20"/>
        </w:rPr>
        <w:t xml:space="preserve">era </w:t>
      </w:r>
      <w:r w:rsidRPr="004D3174">
        <w:rPr>
          <w:sz w:val="20"/>
          <w:szCs w:val="20"/>
        </w:rPr>
        <w:t xml:space="preserve">stata eliminata </w:t>
      </w:r>
      <w:r w:rsidRPr="00D16C57">
        <w:rPr>
          <w:sz w:val="20"/>
          <w:szCs w:val="20"/>
        </w:rPr>
        <w:t>nella proposta di revisione della l.r 12/05</w:t>
      </w:r>
      <w:r w:rsidRPr="004D3174">
        <w:rPr>
          <w:color w:val="C00000"/>
          <w:sz w:val="20"/>
          <w:szCs w:val="20"/>
        </w:rPr>
        <w:t xml:space="preserve"> </w:t>
      </w:r>
      <w:r w:rsidRPr="004D3174">
        <w:rPr>
          <w:sz w:val="20"/>
          <w:szCs w:val="20"/>
        </w:rPr>
        <w:t>perché interpretata nei PGT come incentivazione del 15% aggiuntiva per le altre tipologie che venivano di seguito previste nell’articolo.</w:t>
      </w:r>
    </w:p>
    <w:p w:rsidR="00C12493" w:rsidRPr="004D3174" w:rsidRDefault="00C12493" w:rsidP="00C12493">
      <w:pPr>
        <w:pStyle w:val="Testonotaapidipagina"/>
        <w:rPr>
          <w:sz w:val="20"/>
          <w:szCs w:val="20"/>
        </w:rPr>
      </w:pPr>
      <w:r w:rsidRPr="004D3174">
        <w:rPr>
          <w:sz w:val="20"/>
          <w:szCs w:val="20"/>
        </w:rPr>
        <w:t>La proposta di modifica è da leggersi come un elenco:</w:t>
      </w:r>
    </w:p>
    <w:p w:rsidR="00C12493" w:rsidRPr="004D3174" w:rsidRDefault="00C12493" w:rsidP="00C12493">
      <w:pPr>
        <w:pStyle w:val="Testonotaapidipagina"/>
        <w:rPr>
          <w:sz w:val="20"/>
          <w:szCs w:val="20"/>
        </w:rPr>
      </w:pPr>
      <w:r w:rsidRPr="004D3174">
        <w:rPr>
          <w:sz w:val="20"/>
          <w:szCs w:val="20"/>
        </w:rPr>
        <w:t xml:space="preserve">“…incentivazione, consistente nell’attribuzione di indici differenziati, può essere prevista per: </w:t>
      </w:r>
    </w:p>
    <w:p w:rsidR="00C12493" w:rsidRPr="004D3174" w:rsidRDefault="00C12493" w:rsidP="00C12493">
      <w:pPr>
        <w:pStyle w:val="Testonotaapidipagina"/>
        <w:rPr>
          <w:sz w:val="20"/>
          <w:szCs w:val="20"/>
        </w:rPr>
      </w:pPr>
      <w:r w:rsidRPr="004D3174">
        <w:rPr>
          <w:sz w:val="20"/>
          <w:szCs w:val="20"/>
        </w:rPr>
        <w:t xml:space="preserve">1-Interventi ricompresi in piani attuativi finalizzati alla riqualificazione urbana e per la realizzazione di servizi abitativi pubblici e sociali, ai sensi della l.r. 16/2016, </w:t>
      </w:r>
    </w:p>
    <w:p w:rsidR="00C12493" w:rsidRPr="004D3174" w:rsidRDefault="00C12493" w:rsidP="00C12493">
      <w:pPr>
        <w:pStyle w:val="Testonotaapidipagina"/>
        <w:rPr>
          <w:sz w:val="20"/>
          <w:szCs w:val="20"/>
        </w:rPr>
      </w:pPr>
      <w:r w:rsidRPr="004D3174">
        <w:rPr>
          <w:sz w:val="20"/>
          <w:szCs w:val="20"/>
        </w:rPr>
        <w:t xml:space="preserve">2-Ai fini del conseguimento del drenaggio urbano sostenibile, </w:t>
      </w:r>
    </w:p>
    <w:p w:rsidR="00C12493" w:rsidRPr="004D3174" w:rsidRDefault="00C12493" w:rsidP="00C12493">
      <w:pPr>
        <w:pStyle w:val="Testonotaapidipagina"/>
        <w:rPr>
          <w:sz w:val="20"/>
          <w:szCs w:val="20"/>
        </w:rPr>
      </w:pPr>
      <w:r w:rsidRPr="004D3174">
        <w:rPr>
          <w:sz w:val="20"/>
          <w:szCs w:val="20"/>
        </w:rPr>
        <w:t>3-Per la promozione dell'edilizia bioclimatica e del risparmio energetico, nonché ai fini del recupero delle aree degradate o dismesse  e ai fini della conservazione degli immobili di interesse storico-artistico ai sensi del D.Lgs. 42/2004. In caso di interventi su aree oggetto di bonifica ambientale, si applicano le misure incentivanti di cui all’art. 21bis, comma 2 della l.r. 26/2003.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2A82"/>
    <w:multiLevelType w:val="hybridMultilevel"/>
    <w:tmpl w:val="EDDCAC9A"/>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175C5E1A"/>
    <w:multiLevelType w:val="hybridMultilevel"/>
    <w:tmpl w:val="F8D6E7AC"/>
    <w:lvl w:ilvl="0" w:tplc="EE9C647A">
      <w:start w:val="5"/>
      <w:numFmt w:val="bullet"/>
      <w:lvlText w:val="-"/>
      <w:lvlJc w:val="left"/>
      <w:pPr>
        <w:ind w:left="720" w:hanging="360"/>
      </w:pPr>
      <w:rPr>
        <w:rFonts w:ascii="Century Gothic" w:eastAsia="Cambria" w:hAnsi="Century Gothic"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3C746D7C"/>
    <w:multiLevelType w:val="hybridMultilevel"/>
    <w:tmpl w:val="BFEC71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D796C6E"/>
    <w:multiLevelType w:val="hybridMultilevel"/>
    <w:tmpl w:val="8A6CED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D0F18F5"/>
    <w:multiLevelType w:val="hybridMultilevel"/>
    <w:tmpl w:val="8A6CED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704297C"/>
    <w:multiLevelType w:val="hybridMultilevel"/>
    <w:tmpl w:val="17487170"/>
    <w:lvl w:ilvl="0" w:tplc="0809000F">
      <w:start w:val="1"/>
      <w:numFmt w:val="decimal"/>
      <w:lvlText w:val="%1."/>
      <w:lvlJc w:val="left"/>
      <w:pPr>
        <w:ind w:left="360" w:hanging="360"/>
      </w:pPr>
    </w:lvl>
    <w:lvl w:ilvl="1" w:tplc="0410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D934D32"/>
    <w:multiLevelType w:val="hybridMultilevel"/>
    <w:tmpl w:val="6F56A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D8"/>
    <w:rsid w:val="00001CFE"/>
    <w:rsid w:val="0001314C"/>
    <w:rsid w:val="00020853"/>
    <w:rsid w:val="0004077A"/>
    <w:rsid w:val="00056AC3"/>
    <w:rsid w:val="000578F3"/>
    <w:rsid w:val="00067403"/>
    <w:rsid w:val="00071A4B"/>
    <w:rsid w:val="00071AC5"/>
    <w:rsid w:val="00072E72"/>
    <w:rsid w:val="000A2C00"/>
    <w:rsid w:val="000B4E93"/>
    <w:rsid w:val="000B684C"/>
    <w:rsid w:val="000C7799"/>
    <w:rsid w:val="000D6493"/>
    <w:rsid w:val="000E096C"/>
    <w:rsid w:val="000E3DEF"/>
    <w:rsid w:val="000F4E52"/>
    <w:rsid w:val="00105AE8"/>
    <w:rsid w:val="00126566"/>
    <w:rsid w:val="0013113B"/>
    <w:rsid w:val="001371DC"/>
    <w:rsid w:val="00141BC7"/>
    <w:rsid w:val="00165574"/>
    <w:rsid w:val="00184DE7"/>
    <w:rsid w:val="001A6A85"/>
    <w:rsid w:val="001D752D"/>
    <w:rsid w:val="001E1D67"/>
    <w:rsid w:val="001F324A"/>
    <w:rsid w:val="001F76A0"/>
    <w:rsid w:val="00202049"/>
    <w:rsid w:val="002039E0"/>
    <w:rsid w:val="00211AFB"/>
    <w:rsid w:val="002132A0"/>
    <w:rsid w:val="00217BFC"/>
    <w:rsid w:val="0022303E"/>
    <w:rsid w:val="00230649"/>
    <w:rsid w:val="0023185F"/>
    <w:rsid w:val="002322D0"/>
    <w:rsid w:val="00232481"/>
    <w:rsid w:val="002417E9"/>
    <w:rsid w:val="00243DAB"/>
    <w:rsid w:val="002544E1"/>
    <w:rsid w:val="002675EF"/>
    <w:rsid w:val="00273256"/>
    <w:rsid w:val="002814B5"/>
    <w:rsid w:val="002A58E8"/>
    <w:rsid w:val="002C5008"/>
    <w:rsid w:val="002C7C55"/>
    <w:rsid w:val="002E5F0C"/>
    <w:rsid w:val="002F2C83"/>
    <w:rsid w:val="00302D0B"/>
    <w:rsid w:val="00316547"/>
    <w:rsid w:val="00357246"/>
    <w:rsid w:val="00362DD3"/>
    <w:rsid w:val="0036565D"/>
    <w:rsid w:val="0036673C"/>
    <w:rsid w:val="00371AD8"/>
    <w:rsid w:val="003723D8"/>
    <w:rsid w:val="00373BC2"/>
    <w:rsid w:val="003748DD"/>
    <w:rsid w:val="00384985"/>
    <w:rsid w:val="003951DE"/>
    <w:rsid w:val="003A5ABE"/>
    <w:rsid w:val="003C2FF3"/>
    <w:rsid w:val="003E31F5"/>
    <w:rsid w:val="003F7CC2"/>
    <w:rsid w:val="004034EB"/>
    <w:rsid w:val="00406AB1"/>
    <w:rsid w:val="00422943"/>
    <w:rsid w:val="00430C3E"/>
    <w:rsid w:val="00444777"/>
    <w:rsid w:val="00445961"/>
    <w:rsid w:val="00463C83"/>
    <w:rsid w:val="00480A1C"/>
    <w:rsid w:val="00483794"/>
    <w:rsid w:val="00490C31"/>
    <w:rsid w:val="004A3AF4"/>
    <w:rsid w:val="004A5A42"/>
    <w:rsid w:val="004B28CA"/>
    <w:rsid w:val="004B45F6"/>
    <w:rsid w:val="004C35BB"/>
    <w:rsid w:val="004D1B5E"/>
    <w:rsid w:val="004D3174"/>
    <w:rsid w:val="004E20D1"/>
    <w:rsid w:val="004F58F9"/>
    <w:rsid w:val="00504E63"/>
    <w:rsid w:val="00514B61"/>
    <w:rsid w:val="005340D5"/>
    <w:rsid w:val="005341DF"/>
    <w:rsid w:val="0054383F"/>
    <w:rsid w:val="00551D93"/>
    <w:rsid w:val="005614DE"/>
    <w:rsid w:val="005647D6"/>
    <w:rsid w:val="00570133"/>
    <w:rsid w:val="00573A5A"/>
    <w:rsid w:val="00582989"/>
    <w:rsid w:val="00593DDE"/>
    <w:rsid w:val="00595AC6"/>
    <w:rsid w:val="005A199C"/>
    <w:rsid w:val="005A44EB"/>
    <w:rsid w:val="005B60B9"/>
    <w:rsid w:val="005B7968"/>
    <w:rsid w:val="005C0679"/>
    <w:rsid w:val="005C4009"/>
    <w:rsid w:val="005D06FB"/>
    <w:rsid w:val="005D538B"/>
    <w:rsid w:val="005D75CE"/>
    <w:rsid w:val="005D7AD1"/>
    <w:rsid w:val="005D7D99"/>
    <w:rsid w:val="005E1702"/>
    <w:rsid w:val="005E2418"/>
    <w:rsid w:val="005F5AC5"/>
    <w:rsid w:val="00600F33"/>
    <w:rsid w:val="00617750"/>
    <w:rsid w:val="00621BA4"/>
    <w:rsid w:val="00632174"/>
    <w:rsid w:val="00633D76"/>
    <w:rsid w:val="00651DB0"/>
    <w:rsid w:val="006620E7"/>
    <w:rsid w:val="006B211F"/>
    <w:rsid w:val="006C07AD"/>
    <w:rsid w:val="006C7654"/>
    <w:rsid w:val="006D08C6"/>
    <w:rsid w:val="006D309C"/>
    <w:rsid w:val="006E78A6"/>
    <w:rsid w:val="00702E3E"/>
    <w:rsid w:val="0072343E"/>
    <w:rsid w:val="0075047B"/>
    <w:rsid w:val="00750804"/>
    <w:rsid w:val="00750E0C"/>
    <w:rsid w:val="00756B54"/>
    <w:rsid w:val="00771DF5"/>
    <w:rsid w:val="00775AD9"/>
    <w:rsid w:val="00782527"/>
    <w:rsid w:val="00792E51"/>
    <w:rsid w:val="0079622F"/>
    <w:rsid w:val="007B0ED0"/>
    <w:rsid w:val="007D5C49"/>
    <w:rsid w:val="007E0EEA"/>
    <w:rsid w:val="007E159F"/>
    <w:rsid w:val="007F4D40"/>
    <w:rsid w:val="00801E29"/>
    <w:rsid w:val="00825112"/>
    <w:rsid w:val="008377C4"/>
    <w:rsid w:val="00854A11"/>
    <w:rsid w:val="0085605C"/>
    <w:rsid w:val="0085618E"/>
    <w:rsid w:val="00861D4C"/>
    <w:rsid w:val="00865D8D"/>
    <w:rsid w:val="00892412"/>
    <w:rsid w:val="00892A52"/>
    <w:rsid w:val="00910B77"/>
    <w:rsid w:val="009168A8"/>
    <w:rsid w:val="00930C40"/>
    <w:rsid w:val="0093672D"/>
    <w:rsid w:val="00946C98"/>
    <w:rsid w:val="00950C4B"/>
    <w:rsid w:val="009545CE"/>
    <w:rsid w:val="00997192"/>
    <w:rsid w:val="009A37F4"/>
    <w:rsid w:val="009A78CE"/>
    <w:rsid w:val="009D04D7"/>
    <w:rsid w:val="009F134A"/>
    <w:rsid w:val="009F3DC1"/>
    <w:rsid w:val="00A021FA"/>
    <w:rsid w:val="00A0555E"/>
    <w:rsid w:val="00A23F46"/>
    <w:rsid w:val="00A3113A"/>
    <w:rsid w:val="00A32ED8"/>
    <w:rsid w:val="00A378A0"/>
    <w:rsid w:val="00A40CDC"/>
    <w:rsid w:val="00A46E1C"/>
    <w:rsid w:val="00A50ABC"/>
    <w:rsid w:val="00A57C39"/>
    <w:rsid w:val="00A97CDD"/>
    <w:rsid w:val="00AB6331"/>
    <w:rsid w:val="00AB70FA"/>
    <w:rsid w:val="00AD148A"/>
    <w:rsid w:val="00AD41F3"/>
    <w:rsid w:val="00AE29F1"/>
    <w:rsid w:val="00AE6630"/>
    <w:rsid w:val="00AF3446"/>
    <w:rsid w:val="00B16BD4"/>
    <w:rsid w:val="00B25BBA"/>
    <w:rsid w:val="00B26CC7"/>
    <w:rsid w:val="00B36E66"/>
    <w:rsid w:val="00B37AB0"/>
    <w:rsid w:val="00B46634"/>
    <w:rsid w:val="00B62694"/>
    <w:rsid w:val="00B6283C"/>
    <w:rsid w:val="00B8628D"/>
    <w:rsid w:val="00BB25D7"/>
    <w:rsid w:val="00BF14AA"/>
    <w:rsid w:val="00C0135F"/>
    <w:rsid w:val="00C10816"/>
    <w:rsid w:val="00C12493"/>
    <w:rsid w:val="00C1420A"/>
    <w:rsid w:val="00C23FD2"/>
    <w:rsid w:val="00C36B43"/>
    <w:rsid w:val="00C50D29"/>
    <w:rsid w:val="00C55BEC"/>
    <w:rsid w:val="00C67B01"/>
    <w:rsid w:val="00C71F28"/>
    <w:rsid w:val="00C95010"/>
    <w:rsid w:val="00C95837"/>
    <w:rsid w:val="00CA148E"/>
    <w:rsid w:val="00CA612F"/>
    <w:rsid w:val="00CE107C"/>
    <w:rsid w:val="00CE1264"/>
    <w:rsid w:val="00CF1EB4"/>
    <w:rsid w:val="00CF4B0A"/>
    <w:rsid w:val="00CF6AA3"/>
    <w:rsid w:val="00D031B4"/>
    <w:rsid w:val="00D10887"/>
    <w:rsid w:val="00D109BB"/>
    <w:rsid w:val="00D12696"/>
    <w:rsid w:val="00D16C57"/>
    <w:rsid w:val="00D407C0"/>
    <w:rsid w:val="00D51EAC"/>
    <w:rsid w:val="00D60E87"/>
    <w:rsid w:val="00D72084"/>
    <w:rsid w:val="00D806C4"/>
    <w:rsid w:val="00D81417"/>
    <w:rsid w:val="00D824FC"/>
    <w:rsid w:val="00D90038"/>
    <w:rsid w:val="00D97DEC"/>
    <w:rsid w:val="00DA2F5A"/>
    <w:rsid w:val="00DE4547"/>
    <w:rsid w:val="00DE5FF1"/>
    <w:rsid w:val="00E0675C"/>
    <w:rsid w:val="00E07F5B"/>
    <w:rsid w:val="00E10CC7"/>
    <w:rsid w:val="00E249C8"/>
    <w:rsid w:val="00E319C5"/>
    <w:rsid w:val="00E50165"/>
    <w:rsid w:val="00E70790"/>
    <w:rsid w:val="00E760BB"/>
    <w:rsid w:val="00E76D5F"/>
    <w:rsid w:val="00E77BD4"/>
    <w:rsid w:val="00E9521C"/>
    <w:rsid w:val="00EA4A86"/>
    <w:rsid w:val="00EA6506"/>
    <w:rsid w:val="00EB2B78"/>
    <w:rsid w:val="00ED384F"/>
    <w:rsid w:val="00ED5C1D"/>
    <w:rsid w:val="00ED7CEC"/>
    <w:rsid w:val="00EF01ED"/>
    <w:rsid w:val="00F037B1"/>
    <w:rsid w:val="00F16532"/>
    <w:rsid w:val="00F20B2A"/>
    <w:rsid w:val="00F20B7E"/>
    <w:rsid w:val="00F2700C"/>
    <w:rsid w:val="00F40BAD"/>
    <w:rsid w:val="00F44C14"/>
    <w:rsid w:val="00F64D4B"/>
    <w:rsid w:val="00FA7C87"/>
    <w:rsid w:val="00FC11E0"/>
    <w:rsid w:val="00FD58C9"/>
    <w:rsid w:val="00FF2AAB"/>
    <w:rsid w:val="00FF3C82"/>
    <w:rsid w:val="00FF6A5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4570C2B-312C-4EE1-8BC2-24BDF6E5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23D8"/>
    <w:pPr>
      <w:spacing w:after="200" w:line="276" w:lineRule="auto"/>
    </w:pPr>
    <w:rPr>
      <w:rFonts w:ascii="Times New Roman" w:eastAsia="Calibri"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23D8"/>
    <w:pPr>
      <w:ind w:left="720"/>
      <w:contextualSpacing/>
    </w:pPr>
  </w:style>
  <w:style w:type="paragraph" w:styleId="NormaleWeb">
    <w:name w:val="Normal (Web)"/>
    <w:basedOn w:val="Normale"/>
    <w:uiPriority w:val="99"/>
    <w:semiHidden/>
    <w:unhideWhenUsed/>
    <w:rsid w:val="003723D8"/>
    <w:pPr>
      <w:spacing w:before="100" w:beforeAutospacing="1" w:after="100" w:afterAutospacing="1" w:line="240" w:lineRule="auto"/>
    </w:pPr>
    <w:rPr>
      <w:rFonts w:ascii="Times" w:eastAsiaTheme="minorEastAsia" w:hAnsi="Times"/>
      <w:sz w:val="20"/>
      <w:szCs w:val="20"/>
      <w:lang w:eastAsia="it-IT"/>
    </w:rPr>
  </w:style>
  <w:style w:type="paragraph" w:styleId="Testofumetto">
    <w:name w:val="Balloon Text"/>
    <w:basedOn w:val="Normale"/>
    <w:link w:val="TestofumettoCarattere"/>
    <w:uiPriority w:val="99"/>
    <w:semiHidden/>
    <w:unhideWhenUsed/>
    <w:rsid w:val="001F324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324A"/>
    <w:rPr>
      <w:rFonts w:ascii="Segoe UI" w:eastAsia="Calibri" w:hAnsi="Segoe UI" w:cs="Segoe UI"/>
      <w:sz w:val="18"/>
      <w:szCs w:val="18"/>
    </w:rPr>
  </w:style>
  <w:style w:type="character" w:styleId="Collegamentoipertestuale">
    <w:name w:val="Hyperlink"/>
    <w:basedOn w:val="Carpredefinitoparagrafo"/>
    <w:uiPriority w:val="99"/>
    <w:semiHidden/>
    <w:unhideWhenUsed/>
    <w:rsid w:val="00E249C8"/>
    <w:rPr>
      <w:color w:val="0000FF"/>
      <w:u w:val="single"/>
    </w:rPr>
  </w:style>
  <w:style w:type="paragraph" w:customStyle="1" w:styleId="Default">
    <w:name w:val="Default"/>
    <w:rsid w:val="009F134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ommanum">
    <w:name w:val="comma_num"/>
    <w:basedOn w:val="Carpredefinitoparagrafo"/>
    <w:rsid w:val="00C10816"/>
  </w:style>
  <w:style w:type="character" w:styleId="Enfasicorsivo">
    <w:name w:val="Emphasis"/>
    <w:basedOn w:val="Carpredefinitoparagrafo"/>
    <w:uiPriority w:val="20"/>
    <w:qFormat/>
    <w:rsid w:val="00357246"/>
    <w:rPr>
      <w:i/>
      <w:iCs/>
    </w:rPr>
  </w:style>
  <w:style w:type="paragraph" w:styleId="Intestazione">
    <w:name w:val="header"/>
    <w:basedOn w:val="Normale"/>
    <w:link w:val="IntestazioneCarattere"/>
    <w:uiPriority w:val="99"/>
    <w:unhideWhenUsed/>
    <w:rsid w:val="00D806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06C4"/>
    <w:rPr>
      <w:rFonts w:ascii="Times New Roman" w:eastAsia="Calibri" w:hAnsi="Times New Roman" w:cs="Times New Roman"/>
      <w:sz w:val="24"/>
      <w:szCs w:val="24"/>
    </w:rPr>
  </w:style>
  <w:style w:type="paragraph" w:styleId="Pidipagina">
    <w:name w:val="footer"/>
    <w:basedOn w:val="Normale"/>
    <w:link w:val="PidipaginaCarattere"/>
    <w:uiPriority w:val="99"/>
    <w:unhideWhenUsed/>
    <w:rsid w:val="00D806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06C4"/>
    <w:rPr>
      <w:rFonts w:ascii="Times New Roman" w:eastAsia="Calibri" w:hAnsi="Times New Roman" w:cs="Times New Roman"/>
      <w:sz w:val="24"/>
      <w:szCs w:val="24"/>
    </w:rPr>
  </w:style>
  <w:style w:type="paragraph" w:styleId="Testonotaapidipagina">
    <w:name w:val="footnote text"/>
    <w:basedOn w:val="Normale"/>
    <w:link w:val="TestonotaapidipaginaCarattere"/>
    <w:uiPriority w:val="99"/>
    <w:unhideWhenUsed/>
    <w:rsid w:val="002675EF"/>
    <w:pPr>
      <w:spacing w:after="0" w:line="240" w:lineRule="auto"/>
    </w:pPr>
    <w:rPr>
      <w:rFonts w:ascii="Cambria" w:eastAsia="MS Mincho" w:hAnsi="Cambria"/>
      <w:noProof/>
      <w:lang w:eastAsia="it-IT"/>
    </w:rPr>
  </w:style>
  <w:style w:type="character" w:customStyle="1" w:styleId="TestonotaapidipaginaCarattere">
    <w:name w:val="Testo nota a piè di pagina Carattere"/>
    <w:basedOn w:val="Carpredefinitoparagrafo"/>
    <w:link w:val="Testonotaapidipagina"/>
    <w:uiPriority w:val="99"/>
    <w:rsid w:val="002675EF"/>
    <w:rPr>
      <w:rFonts w:ascii="Cambria" w:eastAsia="MS Mincho" w:hAnsi="Cambria" w:cs="Times New Roman"/>
      <w:noProof/>
      <w:sz w:val="24"/>
      <w:szCs w:val="24"/>
      <w:lang w:eastAsia="it-IT"/>
    </w:rPr>
  </w:style>
  <w:style w:type="character" w:styleId="Rimandonotaapidipagina">
    <w:name w:val="footnote reference"/>
    <w:uiPriority w:val="99"/>
    <w:unhideWhenUsed/>
    <w:rsid w:val="002675EF"/>
    <w:rPr>
      <w:vertAlign w:val="superscript"/>
    </w:rPr>
  </w:style>
  <w:style w:type="character" w:styleId="Rimandocommento">
    <w:name w:val="annotation reference"/>
    <w:basedOn w:val="Carpredefinitoparagrafo"/>
    <w:uiPriority w:val="99"/>
    <w:semiHidden/>
    <w:unhideWhenUsed/>
    <w:rsid w:val="0093672D"/>
    <w:rPr>
      <w:sz w:val="16"/>
      <w:szCs w:val="16"/>
    </w:rPr>
  </w:style>
  <w:style w:type="paragraph" w:styleId="Testocommento">
    <w:name w:val="annotation text"/>
    <w:basedOn w:val="Normale"/>
    <w:link w:val="TestocommentoCarattere"/>
    <w:uiPriority w:val="99"/>
    <w:semiHidden/>
    <w:unhideWhenUsed/>
    <w:rsid w:val="0093672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3672D"/>
    <w:rPr>
      <w:rFonts w:ascii="Times New Roman" w:eastAsia="Calibri"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3672D"/>
    <w:rPr>
      <w:b/>
      <w:bCs/>
    </w:rPr>
  </w:style>
  <w:style w:type="character" w:customStyle="1" w:styleId="SoggettocommentoCarattere">
    <w:name w:val="Soggetto commento Carattere"/>
    <w:basedOn w:val="TestocommentoCarattere"/>
    <w:link w:val="Soggettocommento"/>
    <w:uiPriority w:val="99"/>
    <w:semiHidden/>
    <w:rsid w:val="0093672D"/>
    <w:rPr>
      <w:rFonts w:ascii="Times New Roman" w:eastAsia="Calibri" w:hAnsi="Times New Roman" w:cs="Times New Roman"/>
      <w:b/>
      <w:bCs/>
      <w:sz w:val="20"/>
      <w:szCs w:val="20"/>
    </w:rPr>
  </w:style>
  <w:style w:type="paragraph" w:styleId="Revisione">
    <w:name w:val="Revision"/>
    <w:hidden/>
    <w:uiPriority w:val="99"/>
    <w:semiHidden/>
    <w:rsid w:val="005A44EB"/>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3304">
      <w:bodyDiv w:val="1"/>
      <w:marLeft w:val="0"/>
      <w:marRight w:val="0"/>
      <w:marTop w:val="0"/>
      <w:marBottom w:val="0"/>
      <w:divBdr>
        <w:top w:val="none" w:sz="0" w:space="0" w:color="auto"/>
        <w:left w:val="none" w:sz="0" w:space="0" w:color="auto"/>
        <w:bottom w:val="none" w:sz="0" w:space="0" w:color="auto"/>
        <w:right w:val="none" w:sz="0" w:space="0" w:color="auto"/>
      </w:divBdr>
    </w:div>
    <w:div w:id="304353682">
      <w:bodyDiv w:val="1"/>
      <w:marLeft w:val="0"/>
      <w:marRight w:val="0"/>
      <w:marTop w:val="0"/>
      <w:marBottom w:val="0"/>
      <w:divBdr>
        <w:top w:val="none" w:sz="0" w:space="0" w:color="auto"/>
        <w:left w:val="none" w:sz="0" w:space="0" w:color="auto"/>
        <w:bottom w:val="none" w:sz="0" w:space="0" w:color="auto"/>
        <w:right w:val="none" w:sz="0" w:space="0" w:color="auto"/>
      </w:divBdr>
    </w:div>
    <w:div w:id="656541309">
      <w:bodyDiv w:val="1"/>
      <w:marLeft w:val="0"/>
      <w:marRight w:val="0"/>
      <w:marTop w:val="0"/>
      <w:marBottom w:val="0"/>
      <w:divBdr>
        <w:top w:val="none" w:sz="0" w:space="0" w:color="auto"/>
        <w:left w:val="none" w:sz="0" w:space="0" w:color="auto"/>
        <w:bottom w:val="none" w:sz="0" w:space="0" w:color="auto"/>
        <w:right w:val="none" w:sz="0" w:space="0" w:color="auto"/>
      </w:divBdr>
    </w:div>
    <w:div w:id="1162281770">
      <w:bodyDiv w:val="1"/>
      <w:marLeft w:val="0"/>
      <w:marRight w:val="0"/>
      <w:marTop w:val="0"/>
      <w:marBottom w:val="0"/>
      <w:divBdr>
        <w:top w:val="none" w:sz="0" w:space="0" w:color="auto"/>
        <w:left w:val="none" w:sz="0" w:space="0" w:color="auto"/>
        <w:bottom w:val="none" w:sz="0" w:space="0" w:color="auto"/>
        <w:right w:val="none" w:sz="0" w:space="0" w:color="auto"/>
      </w:divBdr>
    </w:div>
    <w:div w:id="1453130979">
      <w:bodyDiv w:val="1"/>
      <w:marLeft w:val="0"/>
      <w:marRight w:val="0"/>
      <w:marTop w:val="0"/>
      <w:marBottom w:val="0"/>
      <w:divBdr>
        <w:top w:val="none" w:sz="0" w:space="0" w:color="auto"/>
        <w:left w:val="none" w:sz="0" w:space="0" w:color="auto"/>
        <w:bottom w:val="none" w:sz="0" w:space="0" w:color="auto"/>
        <w:right w:val="none" w:sz="0" w:space="0" w:color="auto"/>
      </w:divBdr>
    </w:div>
    <w:div w:id="1569000548">
      <w:bodyDiv w:val="1"/>
      <w:marLeft w:val="0"/>
      <w:marRight w:val="0"/>
      <w:marTop w:val="0"/>
      <w:marBottom w:val="0"/>
      <w:divBdr>
        <w:top w:val="none" w:sz="0" w:space="0" w:color="auto"/>
        <w:left w:val="none" w:sz="0" w:space="0" w:color="auto"/>
        <w:bottom w:val="none" w:sz="0" w:space="0" w:color="auto"/>
        <w:right w:val="none" w:sz="0" w:space="0" w:color="auto"/>
      </w:divBdr>
      <w:divsChild>
        <w:div w:id="204532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809391">
      <w:bodyDiv w:val="1"/>
      <w:marLeft w:val="0"/>
      <w:marRight w:val="0"/>
      <w:marTop w:val="0"/>
      <w:marBottom w:val="0"/>
      <w:divBdr>
        <w:top w:val="none" w:sz="0" w:space="0" w:color="auto"/>
        <w:left w:val="none" w:sz="0" w:space="0" w:color="auto"/>
        <w:bottom w:val="none" w:sz="0" w:space="0" w:color="auto"/>
        <w:right w:val="none" w:sz="0" w:space="0" w:color="auto"/>
      </w:divBdr>
    </w:div>
    <w:div w:id="1871454166">
      <w:bodyDiv w:val="1"/>
      <w:marLeft w:val="0"/>
      <w:marRight w:val="0"/>
      <w:marTop w:val="0"/>
      <w:marBottom w:val="0"/>
      <w:divBdr>
        <w:top w:val="none" w:sz="0" w:space="0" w:color="auto"/>
        <w:left w:val="none" w:sz="0" w:space="0" w:color="auto"/>
        <w:bottom w:val="none" w:sz="0" w:space="0" w:color="auto"/>
        <w:right w:val="none" w:sz="0" w:space="0" w:color="auto"/>
      </w:divBdr>
      <w:divsChild>
        <w:div w:id="422801959">
          <w:marLeft w:val="0"/>
          <w:marRight w:val="0"/>
          <w:marTop w:val="0"/>
          <w:marBottom w:val="0"/>
          <w:divBdr>
            <w:top w:val="none" w:sz="0" w:space="0" w:color="auto"/>
            <w:left w:val="none" w:sz="0" w:space="0" w:color="auto"/>
            <w:bottom w:val="none" w:sz="0" w:space="0" w:color="auto"/>
            <w:right w:val="none" w:sz="0" w:space="0" w:color="auto"/>
          </w:divBdr>
        </w:div>
        <w:div w:id="184917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2_016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1968_1444.htm" TargetMode="External"/><Relationship Id="rId5" Type="http://schemas.openxmlformats.org/officeDocument/2006/relationships/webSettings" Target="webSettings.xml"/><Relationship Id="rId10" Type="http://schemas.openxmlformats.org/officeDocument/2006/relationships/hyperlink" Target="http://www.bosettiegatti.eu/info/norme/lombardia/2005_012.htm" TargetMode="External"/><Relationship Id="rId4" Type="http://schemas.openxmlformats.org/officeDocument/2006/relationships/settings" Target="settings.xml"/><Relationship Id="rId9" Type="http://schemas.openxmlformats.org/officeDocument/2006/relationships/hyperlink" Target="http://www.bosettiegatti.eu/info/norme/statali/2002_0166.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78924-CD66-434A-971D-10D19307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2166</Words>
  <Characters>12349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Dadone</dc:creator>
  <cp:keywords/>
  <dc:description/>
  <cp:lastModifiedBy>Filippo Dadone</cp:lastModifiedBy>
  <cp:revision>3</cp:revision>
  <cp:lastPrinted>2017-12-05T14:51:00Z</cp:lastPrinted>
  <dcterms:created xsi:type="dcterms:W3CDTF">2017-12-22T12:01:00Z</dcterms:created>
  <dcterms:modified xsi:type="dcterms:W3CDTF">2017-12-22T12:03:00Z</dcterms:modified>
</cp:coreProperties>
</file>